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26828"/>
      <w:r/>
      <w:bookmarkStart w:id="4" w:name="_Toc14984"/>
      <w:r/>
      <w:bookmarkStart w:id="5" w:name="_Toc14639"/>
      <w:r/>
      <w:bookmarkStart w:id="6" w:name="_Toc1207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泗洪县档案馆改扩建信息化项目</w:t>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JSZC-321324-PHZX-G2026-0006 </w:t>
      </w:r>
      <w:r/>
    </w:p>
    <w:p>
      <w:pPr>
        <w:pStyle w:val="1005"/>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20861"/>
      <w:r/>
      <w:bookmarkStart w:id="8" w:name="_Toc6786"/>
      <w:r/>
      <w:bookmarkStart w:id="9" w:name="_Toc21355"/>
      <w:r/>
      <w:bookmarkStart w:id="10" w:name="_Toc19304"/>
      <w:r/>
      <w:bookmarkStart w:id="11" w:name="_Toc12306"/>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u w:val="single"/>
          <w:lang w:val="en-US" w:eastAsia="zh-CN" w:bidi="ar-SA"/>
        </w:rPr>
        <w:t xml:space="preserve">非</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2002"/>
      <w:r/>
      <w:bookmarkStart w:id="13" w:name="_Toc29674"/>
      <w:r/>
      <w:bookmarkStart w:id="14" w:name="_Toc11936"/>
      <w:r/>
      <w:bookmarkStart w:id="15" w:name="_Toc29357"/>
      <w:r/>
      <w:bookmarkStart w:id="16" w:name="_Toc5082"/>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泗洪县档案馆</w:t>
      </w:r>
      <w:r/>
    </w:p>
    <w:p>
      <w:pPr>
        <w:pStyle w:val="1005"/>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805"/>
      <w:r/>
      <w:bookmarkStart w:id="18" w:name="_Toc15097"/>
      <w:r/>
      <w:bookmarkStart w:id="19" w:name="_Toc1955"/>
      <w:r/>
      <w:bookmarkStart w:id="20" w:name="_Toc15872"/>
      <w:r/>
      <w:bookmarkStart w:id="21" w:name="_Toc10024"/>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江苏普和建设项目咨询有限公司</w:t>
      </w:r>
      <w:r/>
    </w:p>
    <w:p>
      <w:pPr>
        <w:pStyle w:val="1005"/>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5</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13</w:t>
      </w:r>
      <w:r>
        <w:rPr>
          <w:rFonts w:hint="eastAsia" w:ascii="方正仿宋_GBK" w:eastAsia="方正仿宋_GBK" w:cs="方正仿宋_GBK"/>
          <w:b/>
          <w:bCs/>
          <w:color w:val="auto"/>
          <w:sz w:val="30"/>
          <w:szCs w:val="30"/>
          <w:highlight w:val="none"/>
          <w:lang w:bidi="ar-SA"/>
        </w:rPr>
        <w:t xml:space="preserve">日</w:t>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62"/>
        <w:tabs>
          <w:tab w:val="right" w:pos="8306" w:leader="dot"/>
        </w:tabs>
        <w:rPr>
          <w:rFonts w:hint="eastAsia" w:ascii="方正仿宋_GBK" w:eastAsia="方正仿宋_GBK" w:cs="方正仿宋_GBK"/>
          <w:color w:val="auto"/>
          <w:sz w:val="28"/>
          <w:szCs w:val="28"/>
          <w:highlight w:val="none"/>
          <w:lang w:bidi="ar-SA"/>
        </w:rPr>
      </w:pPr>
      <w:r/>
      <w:bookmarkStart w:id="22" w:name="_Toc81575189"/>
      <w:r/>
      <w:bookmarkStart w:id="23" w:name="_Toc176774443"/>
      <w:r/>
      <w:bookmarkStart w:id="24" w:name="_Toc81575152"/>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62"/>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fldChar w:fldCharType="end"/>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1005"/>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泗洪县档案馆改扩建信息化项目JSZC-321324-PHZX-G2026-0006 </w:t>
      </w:r>
      <w:r>
        <w:rPr>
          <w:rFonts w:hint="eastAsia" w:ascii="宋体" w:cs="宋体"/>
          <w:color w:val="auto"/>
          <w:highlight w:val="none"/>
          <w:u w:val="none"/>
          <w:lang w:bidi="ar-SA"/>
        </w:rPr>
        <w:t xml:space="preserve">招标项目的潜在投标人应在招标文件提供的时间内，通过“苏采云“系统 </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bidi="ar-SA"/>
        </w:rPr>
        <w:t xml:space="preserve"> 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月9</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u w:val="single"/>
          <w:lang w:bidi="ar-SA"/>
        </w:rPr>
        <w:t xml:space="preserve">（</w:t>
      </w:r>
      <w:r>
        <w:rPr>
          <w:rFonts w:hint="eastAsia" w:ascii="宋体" w:cs="宋体"/>
          <w:color w:val="auto"/>
          <w:highlight w:val="none"/>
          <w:lang w:bidi="ar-SA"/>
        </w:rPr>
        <w:t xml:space="preserve">北京时间）前递交投标文件。</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Hlk24379207"/>
      <w:r/>
      <w:bookmarkStart w:id="28" w:name="_Toc35393790"/>
      <w:r/>
      <w:bookmarkStart w:id="29" w:name="_Toc35393621"/>
      <w:r/>
      <w:bookmarkStart w:id="30" w:name="_Toc28359002"/>
      <w:r/>
      <w:bookmarkStart w:id="31" w:name="_Toc38985263"/>
      <w:r/>
      <w:bookmarkStart w:id="32" w:name="_Toc28359079"/>
      <w:r/>
      <w:bookmarkStart w:id="33" w:name="_Toc176774444"/>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JSZC-321324-PHZX-G2026-0006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泗洪县档案馆改扩建信息化项目</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3.预算金额：</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4.本项目设定最高限价，最高限价为</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rPr>
          <w:rFonts w:hint="eastAsia" w:ascii="宋体" w:cs="宋体"/>
          <w:color w:val="auto"/>
          <w:highlight w:val="none"/>
          <w:lang w:bidi="ar-SA"/>
        </w:rPr>
        <w:t xml:space="preserve">；高于最高限价的，按无效投标处理。</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5.采购需求（简介）：</w:t>
      </w:r>
      <w:r>
        <w:rPr>
          <w:rFonts w:hint="eastAsia" w:ascii="宋体" w:cs="宋体"/>
          <w:color w:val="auto"/>
          <w:highlight w:val="none"/>
          <w:lang w:eastAsia="zh-CN" w:bidi="ar-SA"/>
        </w:rPr>
        <w:t xml:space="preserve">泗洪县档案馆改扩建信息化项目采购主要包含数字档案馆信息中心建设、智能密集架（含樟木板）、档案馆库房“十防”设施、智慧馆库综合管控平台、安防中心、弱电安装、公共区域综合安防等</w:t>
      </w:r>
      <w:r>
        <w:rPr>
          <w:rFonts w:hint="eastAsia" w:ascii="宋体" w:cs="宋体"/>
          <w:color w:val="auto"/>
          <w:highlight w:val="none"/>
          <w:lang w:bidi="ar-SA"/>
        </w:rPr>
        <w:t xml:space="preserve">，具体详见第四章采购需求。</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签订合同后150日内完成全部采购内容</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38985264"/>
      <w:r/>
      <w:bookmarkStart w:id="35" w:name="_Toc176774445"/>
      <w:r/>
      <w:bookmarkStart w:id="36" w:name="_Toc35393791"/>
      <w:r/>
      <w:bookmarkStart w:id="37" w:name="_Toc35393622"/>
      <w:r/>
      <w:bookmarkStart w:id="38" w:name="_Toc28359003"/>
      <w:r/>
      <w:bookmarkStart w:id="39" w:name="_Toc28359080"/>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40" w:name="_Toc35393623"/>
      <w:r/>
      <w:bookmarkStart w:id="41" w:name="_Toc35393792"/>
      <w:r/>
      <w:bookmarkStart w:id="42" w:name="_Toc28359081"/>
      <w:r/>
      <w:bookmarkStart w:id="43" w:name="_Toc38985265"/>
      <w:r/>
      <w:bookmarkStart w:id="44" w:name="_Toc28359004"/>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pStyle w:val="1005"/>
        <w:ind w:firstLine="480"/>
        <w:jc w:val="both"/>
        <w:spacing w:before="0" w:beforeAutospacing="0" w:after="0" w:afterAutospacing="0" w:line="440" w:lineRule="exact"/>
        <w:rPr>
          <w:rFonts w:hint="eastAsia" w:ascii="宋体" w:cs="宋体"/>
          <w:color w:val="auto"/>
          <w:highlight w:val="none"/>
          <w:lang w:val="en-US" w:eastAsia="zh-CN" w:bidi="ar-SA"/>
        </w:rPr>
      </w:pPr>
      <w:r>
        <w:rPr>
          <w:rFonts w:hint="eastAsia" w:ascii="宋体" w:cs="宋体"/>
          <w:color w:val="auto"/>
          <w:highlight w:val="none"/>
          <w:lang w:val="en-US" w:eastAsia="zh-CN" w:bidi="ar-SA"/>
        </w:rPr>
        <w:t xml:space="preserve">1.本</w:t>
      </w:r>
      <w:r>
        <w:rPr>
          <w:rFonts w:hint="eastAsia" w:ascii="宋体" w:cs="宋体"/>
          <w:color w:val="auto"/>
          <w:highlight w:val="none"/>
          <w:lang w:val="en-US" w:eastAsia="zh-CN" w:bidi="ar-SA"/>
        </w:rPr>
        <w:t xml:space="preserve">项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（二）本项目的特定资格要求：无。</w:t>
      </w:r>
      <w:bookmarkStart w:id="47" w:name="_Toc176774446"/>
      <w:r/>
      <w:r/>
    </w:p>
    <w:p>
      <w:pPr>
        <w:pStyle w:val="1005"/>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5"/>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1005"/>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auto"/>
          <w:highlight w:val="none"/>
          <w:u w:val="single"/>
          <w:lang w:bidi="ar-SA"/>
        </w:rPr>
        <w:t xml:space="preserve">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月</w:t>
      </w:r>
      <w:r>
        <w:rPr>
          <w:rFonts w:hint="eastAsia" w:ascii="宋体" w:cs="宋体"/>
          <w:color w:val="auto"/>
          <w:highlight w:val="none"/>
          <w:u w:val="single"/>
          <w:lang w:val="en-US" w:eastAsia="zh-CN" w:bidi="ar-SA"/>
        </w:rPr>
        <w:t xml:space="preserve">9</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lang w:bidi="ar-SA"/>
        </w:rPr>
        <w:t xml:space="preserve">（北京时间）</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176774448"/>
      <w:r/>
      <w:bookmarkStart w:id="50" w:name="_Toc35393794"/>
      <w:r/>
      <w:bookmarkStart w:id="51" w:name="_Toc28359084"/>
      <w:r/>
      <w:bookmarkStart w:id="52" w:name="_Toc38985267"/>
      <w:r/>
      <w:bookmarkStart w:id="53" w:name="_Toc35393625"/>
      <w:r/>
      <w:bookmarkStart w:id="54" w:name="_Toc28359007"/>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56" w:name="_Toc28359085"/>
      <w:r/>
      <w:bookmarkStart w:id="57" w:name="_Toc28359008"/>
      <w:r/>
      <w:bookmarkStart w:id="58" w:name="_Toc35393796"/>
      <w:r/>
      <w:bookmarkStart w:id="59" w:name="EB64e1f522fd8c43fcb4d3ba471386b3e7"/>
      <w:r/>
      <w:bookmarkStart w:id="60" w:name="_Toc38985269"/>
      <w:r/>
      <w:bookmarkStart w:id="61" w:name="_Toc3539362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w:t>
      </w:r>
      <w:r>
        <w:rPr>
          <w:rFonts w:hint="eastAsia" w:ascii="宋体" w:cs="宋体"/>
          <w:color w:val="auto"/>
          <w:highlight w:val="none"/>
          <w:shd w:val="clear" w:color="auto" w:fill="ffffff"/>
          <w:lang w:bidi="ar-SA"/>
        </w:rPr>
        <w:t xml:space="preserve">18351098172</w:t>
      </w:r>
      <w:r>
        <w:rPr>
          <w:rFonts w:hint="eastAsia" w:ascii="宋体" w:cs="宋体"/>
          <w:color w:val="auto"/>
          <w:highlight w:val="none"/>
          <w:shd w:val="clear" w:color="auto" w:fill="ffffff"/>
          <w:lang w:bidi="ar-SA"/>
        </w:rPr>
        <w:t xml:space="preserve">。</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6.有关本次招标的事项若存在变动或修改，敬请及时关注“宿迁市政府采购网”等平台更正公告。 </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名 称：</w:t>
      </w:r>
      <w:r>
        <w:rPr>
          <w:rFonts w:hint="eastAsia" w:ascii="宋体" w:cs="宋体"/>
          <w:color w:val="auto"/>
          <w:highlight w:val="none"/>
          <w:lang w:eastAsia="zh-CN" w:bidi="ar-SA"/>
        </w:rPr>
        <w:t xml:space="preserve">泗洪县档案馆</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 址：</w:t>
      </w:r>
      <w:r>
        <w:rPr>
          <w:rFonts w:hint="eastAsia" w:ascii="宋体" w:cs="宋体"/>
          <w:color w:val="auto"/>
          <w:highlight w:val="none"/>
          <w:lang w:eastAsia="zh-CN" w:bidi="ar-SA"/>
        </w:rPr>
        <w:t xml:space="preserve">泗洪县仁和路1号</w:t>
      </w:r>
      <w:r/>
    </w:p>
    <w:p>
      <w:pPr>
        <w:pStyle w:val="100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邱顶</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0527-86222379</w:t>
      </w:r>
      <w:r>
        <w:rPr>
          <w:rFonts w:hint="eastAsia" w:ascii="宋体" w:cs="宋体"/>
          <w:color w:val="auto"/>
          <w:highlight w:val="none"/>
          <w:lang w:bidi="ar-SA"/>
        </w:rPr>
        <w:t xml:space="preserve">　</w:t>
      </w:r>
      <w:r/>
    </w:p>
    <w:p>
      <w:pPr>
        <w:pStyle w:val="1005"/>
        <w:ind w:firstLine="480"/>
        <w:spacing w:before="0" w:beforeAutospacing="0" w:after="0" w:afterAutospacing="0" w:line="440" w:lineRule="exact"/>
        <w:widowControl/>
        <w:rPr>
          <w:rFonts w:hint="eastAsia" w:ascii="宋体" w:cs="宋体"/>
          <w:color w:val="auto"/>
          <w:highlight w:val="none"/>
          <w:lang w:bidi="ar-SA"/>
        </w:rPr>
      </w:pPr>
      <w:r/>
      <w:bookmarkStart w:id="63" w:name="_Toc28359086"/>
      <w:r/>
      <w:bookmarkStart w:id="64" w:name="_Toc28359009"/>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江苏普和建设项目咨询有限公司</w:t>
      </w:r>
      <w:r>
        <w:rPr>
          <w:rFonts w:hint="eastAsia" w:ascii="宋体" w:cs="宋体"/>
          <w:color w:val="auto"/>
          <w:highlight w:val="none"/>
          <w:shd w:val="clear" w:color="auto" w:fill="ffffff"/>
          <w:lang w:bidi="ar-SA"/>
        </w:rPr>
        <w:t xml:space="preserve">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泗洪县和谐路永昌财富广场4008室</w:t>
      </w:r>
      <w:r/>
    </w:p>
    <w:p>
      <w:pPr>
        <w:pStyle w:val="1005"/>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17552661415</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17552661415          </w:t>
      </w:r>
      <w:r/>
    </w:p>
    <w:p>
      <w:pPr>
        <w:pStyle w:val="1005"/>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宋体" w:cs="宋体"/>
          <w:color w:val="auto"/>
          <w:highlight w:val="none"/>
          <w:shd w:val="clear" w:color="auto" w:fill="ffffff"/>
          <w:lang w:bidi="ar-SA"/>
        </w:rPr>
        <w:br w:type="page" w:clear="all"/>
      </w:r>
      <w:r>
        <w:rPr>
          <w:rFonts w:hint="eastAsia" w:ascii="方正仿宋_GBK" w:eastAsia="方正仿宋_GBK" w:cs="方正仿宋_GBK"/>
          <w:b/>
          <w:bCs/>
          <w:color w:val="auto"/>
          <w:sz w:val="30"/>
          <w:szCs w:val="30"/>
          <w:highlight w:val="none"/>
          <w:lang w:bidi="ar-SA"/>
        </w:rPr>
        <w:t xml:space="preserve">第二部分  投标人须知</w:t>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239"/>
      <w:r/>
      <w:bookmarkEnd w:id="65"/>
      <w:r/>
      <w:bookmarkStart w:id="66" w:name="_Toc81575192"/>
      <w:r/>
      <w:bookmarkEnd w:id="66"/>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w:t>
            </w:r>
            <w:r>
              <w:rPr>
                <w:rFonts w:hint="eastAsia" w:ascii="宋体" w:cs="宋体"/>
                <w:color w:val="auto"/>
                <w:sz w:val="24"/>
                <w:highlight w:val="none"/>
                <w:lang w:val="en-US" w:eastAsia="zh-CN" w:bidi="ar-SA"/>
              </w:rPr>
              <w:t xml:space="preserve">三部分</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种方式确定：</w:t>
            </w:r>
            <w:r/>
          </w:p>
          <w:p>
            <w:pPr>
              <w:jc w:val="left"/>
              <w:spacing w:line="440" w:lineRule="exact"/>
              <w:rPr>
                <w:rFonts w:hint="default" w:ascii="宋体" w:eastAsia="宋体" w:cs="宋体"/>
                <w:strike w:val="0"/>
                <w:color w:val="auto"/>
                <w:sz w:val="24"/>
                <w:highlight w:val="none"/>
                <w:lang w:val="en-US" w:eastAsia="zh-CN"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strike w:val="0"/>
                <w:color w:val="auto"/>
                <w:sz w:val="24"/>
                <w:highlight w:val="none"/>
                <w:u w:val="single"/>
                <w:lang w:val="en-US" w:eastAsia="zh-CN" w:bidi="ar-SA"/>
              </w:rPr>
              <w:t xml:space="preserve">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w:t>
            </w:r>
            <w:r>
              <w:rPr>
                <w:rFonts w:hint="eastAsia" w:ascii="宋体" w:cs="宋体"/>
                <w:strike w:val="0"/>
                <w:color w:val="auto"/>
                <w:sz w:val="24"/>
                <w:highlight w:val="none"/>
                <w:u w:val="single"/>
                <w:lang w:bidi="ar-SA"/>
              </w:rPr>
              <w:t xml:space="preserve">。</w:t>
            </w:r>
            <w:r>
              <w:rPr>
                <w:rFonts w:hint="eastAsia" w:ascii="宋体" w:cs="宋体"/>
                <w:strike w:val="0"/>
                <w:color w:val="auto"/>
                <w:sz w:val="24"/>
                <w:highlight w:val="none"/>
                <w:u w:val="single"/>
                <w:lang w:val="en-US" w:eastAsia="zh-CN" w:bidi="ar-SA"/>
              </w:rPr>
              <w:t xml:space="preserve">分包中小微企业应具备承揽分包采购内容的相应能力。</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65"/>
        <w:ind w:firstLine="321"/>
        <w:spacing w:before="0" w:after="0" w:line="440" w:lineRule="exact"/>
        <w:rPr>
          <w:rFonts w:hint="eastAsia" w:ascii="宋体" w:eastAsia="宋体" w:cs="宋体"/>
          <w:bCs/>
          <w:color w:val="auto"/>
          <w:sz w:val="24"/>
          <w:szCs w:val="24"/>
          <w:highlight w:val="none"/>
          <w:lang w:bidi="ar-SA"/>
        </w:rPr>
      </w:pPr>
      <w:r/>
      <w:bookmarkStart w:id="69" w:name="_Toc30953"/>
      <w:r/>
      <w:bookmarkStart w:id="70" w:name="_Toc81575155"/>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2.1满足招标公告中供应商的资格要求的规定。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81575193"/>
      <w:r/>
      <w:bookmarkStart w:id="72" w:name="_Toc81575156"/>
      <w:r/>
      <w:bookmarkStart w:id="73" w:name="_Toc29306"/>
      <w:r/>
      <w:bookmarkStart w:id="74" w:name="_Toc15995"/>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val="en-US" w:eastAsia="zh-CN" w:bidi="ar-SA"/>
        </w:rPr>
        <w:t xml:space="preserve">4.2 代理费用收取方式及标准：按照苏政采协[2024]20号文件列明的差额定率分档累进费率7.6折按项目中标金额计算。</w:t>
      </w:r>
      <w:r/>
    </w:p>
    <w:p>
      <w:pPr>
        <w:pStyle w:val="1065"/>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65"/>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65"/>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本项目按第</w:t>
      </w:r>
      <w:r>
        <w:rPr>
          <w:rFonts w:hint="eastAsia" w:ascii="宋体" w:cs="宋体"/>
          <w:color w:val="auto"/>
          <w:sz w:val="24"/>
          <w:highlight w:val="none"/>
          <w:u w:val="single"/>
          <w:lang w:bidi="ar-SA"/>
        </w:rPr>
        <w:t xml:space="preserve">（</w:t>
      </w:r>
      <w:r>
        <w:rPr>
          <w:rFonts w:hint="eastAsia" w:ascii="宋体" w:cs="宋体"/>
          <w:color w:val="auto"/>
          <w:sz w:val="24"/>
          <w:highlight w:val="none"/>
          <w:u w:val="single"/>
          <w:lang w:val="en-US" w:eastAsia="zh-CN" w:bidi="ar-SA"/>
        </w:rPr>
        <w:t xml:space="preserve">3</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hAnsi="Calibri" w:eastAsia="宋体" w:cs="宋体"/>
          <w:color w:val="auto"/>
          <w:sz w:val="24"/>
          <w:szCs w:val="24"/>
          <w:highlight w:val="none"/>
          <w:shd w:val="clear" w:color="auto" w:fill="ffffff"/>
          <w:lang w:val="en-US" w:eastAsia="zh-CN" w:bidi="ar-SA"/>
        </w:rPr>
      </w:pPr>
      <w:r>
        <w:rPr>
          <w:rFonts w:hint="eastAsia" w:ascii="宋体" w:hAnsi="Calibri" w:eastAsia="宋体" w:cs="宋体"/>
          <w:color w:val="auto"/>
          <w:sz w:val="24"/>
          <w:szCs w:val="24"/>
          <w:highlight w:val="none"/>
          <w:shd w:val="clear" w:color="auto" w:fill="ffffff"/>
          <w:lang w:val="en-US" w:eastAsia="zh-CN" w:bidi="ar-SA"/>
        </w:rPr>
        <w:t xml:space="preserve">（3）本项</w:t>
      </w:r>
      <w:r>
        <w:rPr>
          <w:rFonts w:hint="eastAsia" w:ascii="宋体" w:hAnsi="Calibri" w:eastAsia="宋体" w:cs="宋体"/>
          <w:color w:val="auto"/>
          <w:sz w:val="24"/>
          <w:szCs w:val="24"/>
          <w:highlight w:val="none"/>
          <w:shd w:val="clear" w:color="auto" w:fill="ffffff"/>
          <w:lang w:val="en-US" w:eastAsia="zh-CN" w:bidi="ar-SA"/>
        </w:rPr>
        <w:t xml:space="preserve">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w:t>
      </w:r>
      <w:r>
        <w:rPr>
          <w:rFonts w:hint="eastAsia" w:ascii="宋体" w:cs="宋体"/>
          <w:color w:val="auto"/>
          <w:sz w:val="24"/>
          <w:highlight w:val="none"/>
          <w:lang w:val="en-US" w:eastAsia="zh-CN" w:bidi="ar-SA"/>
        </w:rPr>
        <w:t xml:space="preserve">行</w:t>
      </w:r>
      <w:r>
        <w:rPr>
          <w:rFonts w:hint="eastAsia" w:ascii="宋体" w:cs="宋体"/>
          <w:color w:val="auto"/>
          <w:sz w:val="24"/>
          <w:highlight w:val="none"/>
          <w:lang w:bidi="ar-SA"/>
        </w:rPr>
        <w:t xml:space="preserve">。</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按照财政部住房和城乡建设部工业和信息化部关于印发《关于扩大政府采购支持绿色建材促进建筑品质提升政策实施范围的通知》要求执行。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75" w:name="_Toc11461"/>
      <w:r/>
      <w:bookmarkStart w:id="76" w:name="_Toc81575194"/>
      <w:r/>
      <w:bookmarkStart w:id="77" w:name="_Toc81575157"/>
      <w:r/>
      <w:bookmarkStart w:id="78" w:name="_Toc5574"/>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w:t>
      </w:r>
      <w:r>
        <w:rPr>
          <w:rFonts w:hint="eastAsia" w:ascii="宋体" w:cs="宋体"/>
          <w:color w:val="auto"/>
          <w:sz w:val="24"/>
          <w:highlight w:val="none"/>
          <w:lang w:bidi="ar-SA"/>
        </w:rPr>
        <w:t xml:space="preserve">润</w:t>
      </w:r>
      <w:r>
        <w:rPr>
          <w:rFonts w:hint="eastAsia" w:ascii="宋体" w:cs="宋体"/>
          <w:color w:val="auto"/>
          <w:sz w:val="24"/>
          <w:highlight w:val="none"/>
          <w:lang w:val="en-US" w:eastAsia="zh-CN" w:bidi="ar-SA"/>
        </w:rPr>
        <w:t xml:space="preserve">、</w:t>
      </w:r>
      <w:r>
        <w:rPr>
          <w:rFonts w:hint="eastAsia" w:ascii="宋体" w:cs="宋体"/>
          <w:color w:val="auto"/>
          <w:sz w:val="24"/>
          <w:highlight w:val="none"/>
          <w:lang w:bidi="ar-SA"/>
        </w:rPr>
        <w:t xml:space="preserve">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1" w:name="_Toc2773"/>
      <w:r/>
      <w:bookmarkStart w:id="82" w:name="_Toc81575195"/>
      <w:r/>
      <w:bookmarkStart w:id="83" w:name="_Toc81575158"/>
      <w:r/>
      <w:bookmarkStart w:id="84" w:name="_Toc23443"/>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5" w:name="_Toc959"/>
      <w:r/>
      <w:bookmarkStart w:id="86" w:name="_Toc81575160"/>
      <w:r/>
      <w:bookmarkStart w:id="87" w:name="_Toc81575197"/>
      <w:r/>
      <w:bookmarkStart w:id="88" w:name="_Toc20026"/>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（3）投标(响应)报价低于采购项目最高限价65%的，即投标(响应)报价＜采购项目最高限价×65%;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91" w:name="_Toc81575159"/>
      <w:r/>
      <w:bookmarkStart w:id="92" w:name="_Toc8712"/>
      <w:r/>
      <w:bookmarkStart w:id="93" w:name="_Toc8841"/>
      <w:r/>
      <w:bookmarkStart w:id="94" w:name="_Toc81575196"/>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81575161"/>
      <w:r/>
      <w:bookmarkStart w:id="97" w:name="_Toc81575198"/>
      <w:r/>
      <w:bookmarkStart w:id="98" w:name="_Toc2391"/>
      <w:r/>
      <w:bookmarkStart w:id="99" w:name="_Toc6494"/>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5"/>
        <w:spacing w:before="0" w:after="0" w:line="440" w:lineRule="exact"/>
        <w:rPr>
          <w:rFonts w:hint="eastAsia" w:ascii="宋体" w:eastAsia="宋体" w:cs="宋体"/>
          <w:bCs/>
          <w:color w:val="auto"/>
          <w:sz w:val="24"/>
          <w:szCs w:val="24"/>
          <w:highlight w:val="none"/>
          <w:lang w:bidi="ar-SA"/>
        </w:rPr>
      </w:pPr>
      <w:r/>
      <w:bookmarkStart w:id="101" w:name="_Toc7550"/>
      <w:r/>
      <w:bookmarkStart w:id="102" w:name="_Toc81575162"/>
      <w:r/>
      <w:bookmarkStart w:id="103" w:name="_Toc81575199"/>
      <w:r/>
      <w:bookmarkStart w:id="104" w:name="_Toc22084"/>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81575163"/>
      <w:r/>
      <w:bookmarkStart w:id="106" w:name="_Toc12263"/>
      <w:r/>
      <w:bookmarkStart w:id="107" w:name="_Toc81575200"/>
      <w:r/>
      <w:bookmarkStart w:id="108" w:name="_Toc31888"/>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泗洪县档案馆</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江苏普和建设项目咨询有限公司</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0527-86222379</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17552661415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泗洪县仁和路1号</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泗洪县和谐路永昌财富广场4008室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highlight w:val="none"/>
          <w:shd w:val="clear" w:color="auto" w:fill="ffffff"/>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rPr>
          <w:rFonts w:hint="eastAsia" w:ascii="宋体" w:cs="宋体"/>
          <w:color w:val="auto"/>
          <w:highlight w:val="none"/>
          <w:shd w:val="clear" w:color="auto" w:fill="ffffff"/>
          <w:lang w:bidi="ar-SA"/>
        </w:rPr>
        <w:br w:type="page" w:clear="all"/>
      </w:r>
      <w:bookmarkStart w:id="109" w:name="_Toc81575164"/>
      <w:r/>
      <w:bookmarkStart w:id="110" w:name="_Toc81575201"/>
      <w:r/>
      <w:bookmarkStart w:id="111" w:name="_Toc6455"/>
      <w:r/>
      <w:bookmarkStart w:id="112" w:name="_Toc18981"/>
      <w:r/>
      <w:r/>
    </w:p>
    <w:p>
      <w:pPr>
        <w:ind w:firstLine="480"/>
        <w:jc w:val="center"/>
        <w:spacing w:line="440" w:lineRule="exact"/>
        <w:rPr>
          <w:rFonts w:hint="eastAsia" w:ascii="方正仿宋_GBK" w:eastAsia="方正仿宋_GBK" w:cs="方正仿宋_GBK"/>
          <w:b/>
          <w:bCs/>
          <w:color w:val="auto"/>
          <w:sz w:val="30"/>
          <w:szCs w:val="30"/>
          <w:highlight w:val="none"/>
          <w:lang w:bidi="ar-SA"/>
        </w:rPr>
        <w:outlineLvl w:val="0"/>
      </w:pPr>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一、资格审查</w:t>
      </w:r>
      <w:r/>
    </w:p>
    <w:p>
      <w:pPr>
        <w:pStyle w:val="1005"/>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信用信息</w:t>
            </w:r>
            <w:bookmarkEnd w:id="113"/>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联合体投标</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本项目不接受联合体</w:t>
            </w:r>
            <w:r/>
          </w:p>
        </w:tc>
      </w:tr>
    </w:tbl>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二、评分办法—综合评分法</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default" w:ascii="宋体" w:eastAsia="宋体" w:cs="宋体"/>
                <w:color w:val="auto"/>
                <w:sz w:val="24"/>
                <w:highlight w:val="none"/>
                <w:lang w:val="en-US" w:eastAsia="zh-CN" w:bidi="ar-SA"/>
              </w:rPr>
            </w:pPr>
            <w:r>
              <w:rPr>
                <w:rFonts w:hint="eastAsia" w:ascii="宋体" w:cs="宋体"/>
                <w:color w:val="auto"/>
                <w:sz w:val="24"/>
                <w:highlight w:val="none"/>
                <w:lang w:val="en-US" w:eastAsia="zh-CN" w:bidi="ar-SA"/>
              </w:rPr>
            </w:r>
            <w:r>
              <w:rPr>
                <w:rFonts w:hint="eastAsia" w:ascii="宋体" w:cs="宋体"/>
                <w:color w:val="auto"/>
                <w:sz w:val="24"/>
                <w:szCs w:val="24"/>
                <w:highlight w:val="none"/>
                <w:lang w:bidi="ar-SA"/>
              </w:rPr>
              <w:t xml:space="preserve">报价符合性审查</w:t>
            </w:r>
            <w:r>
              <w:rPr>
                <w:rFonts w:hint="eastAsia" w:ascii="宋体" w:cs="宋体"/>
                <w:color w:val="auto"/>
                <w:sz w:val="24"/>
                <w:szCs w:val="24"/>
                <w:highlight w:val="none"/>
                <w:lang w:val="en-US" w:eastAsia="zh-CN" w:bidi="ar-SA"/>
              </w:rPr>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1005"/>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b/>
          <w:bCs/>
          <w:color w:val="auto"/>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9664" w:type="dxa"/>
        <w:tblInd w:w="-4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702"/>
        <w:gridCol w:w="7570"/>
      </w:tblGrid>
      <w:tr>
        <w:trPr>
          <w:trHeight w:val="312"/>
        </w:trPr>
        <w:tc>
          <w:tcPr>
            <w:gridSpan w:val="2"/>
            <w:tcBorders>
              <w:top w:val="single" w:color="000000" w:sz="8" w:space="0"/>
              <w:left w:val="single" w:color="000000" w:sz="8"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评审因素</w:t>
            </w:r>
            <w:r/>
          </w:p>
        </w:tc>
        <w:tc>
          <w:tcPr>
            <w:tcBorders>
              <w:top w:val="single" w:color="000000" w:sz="8"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分数</w:t>
            </w:r>
            <w:r/>
          </w:p>
        </w:tc>
        <w:tc>
          <w:tcPr>
            <w:tcBorders>
              <w:top w:val="single" w:color="000000" w:sz="8" w:space="0"/>
              <w:left w:val="single" w:color="000000" w:sz="4" w:space="0"/>
              <w:bottom w:val="single" w:color="000000" w:sz="4" w:space="0"/>
              <w:right w:val="single" w:color="000000" w:sz="8" w:space="0"/>
            </w:tcBorders>
            <w:tcW w:w="75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报价分</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技术响应</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参数</w:t>
            </w:r>
            <w:r>
              <w:rPr>
                <w:rFonts w:hint="eastAsia" w:ascii="宋体" w:hAnsi="宋体" w:eastAsia="宋体" w:cs="宋体"/>
                <w:i w:val="0"/>
                <w:iCs w:val="0"/>
                <w:color w:val="auto"/>
                <w:sz w:val="24"/>
                <w:szCs w:val="24"/>
                <w:u w:val="none"/>
                <w:lang w:val="en-US" w:eastAsia="zh-CN" w:bidi="ar"/>
              </w:rPr>
              <w:t xml:space="preserve">要求响应</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针对招标文件“第四部分、采购需求”中的“采购清单及技术参数要求”所列内容进行评分，所投产品技术要求完全满足或优于招标文件技术要求的得2</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1、标★为实质性参数（共</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条），不接受负偏离，按要求提供证明材料，否则按无效标处理。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2、标注“▲”项（共2</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条，计11分）为重点参数要求，每有一项不满足的扣0.5分，扣完为止；标注“▲”项按照要求在投标文件《技术响应偏离表》中逐条列出响应及偏离情况并按要求提供证明材料，否则视为负偏离扣分。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3、标注“＃”项其他参数（共</w:t>
            </w:r>
            <w:r>
              <w:rPr>
                <w:rFonts w:hint="eastAsia" w:ascii="宋体" w:hAnsi="宋体" w:cs="宋体"/>
                <w:i w:val="0"/>
                <w:iCs w:val="0"/>
                <w:color w:val="auto"/>
                <w:sz w:val="24"/>
                <w:szCs w:val="24"/>
                <w:u w:val="none"/>
                <w:lang w:val="en-US" w:eastAsia="zh-CN" w:bidi="ar"/>
              </w:rPr>
              <w:t xml:space="preserve">900</w:t>
            </w:r>
            <w:r>
              <w:rPr>
                <w:rFonts w:hint="eastAsia" w:ascii="宋体" w:hAnsi="宋体" w:eastAsia="宋体" w:cs="宋体"/>
                <w:i w:val="0"/>
                <w:iCs w:val="0"/>
                <w:color w:val="auto"/>
                <w:sz w:val="24"/>
                <w:szCs w:val="24"/>
                <w:u w:val="none"/>
                <w:lang w:val="en-US" w:eastAsia="zh-CN" w:bidi="ar"/>
              </w:rPr>
              <w:t xml:space="preserve">条，计</w:t>
            </w:r>
            <w:r>
              <w:rPr>
                <w:rFonts w:hint="eastAsia" w:ascii="宋体" w:hAnsi="宋体" w:cs="宋体"/>
                <w:i w:val="0"/>
                <w:iCs w:val="0"/>
                <w:color w:val="auto"/>
                <w:sz w:val="24"/>
                <w:szCs w:val="24"/>
                <w:u w:val="none"/>
                <w:lang w:val="en-US" w:eastAsia="zh-CN" w:bidi="ar"/>
              </w:rPr>
              <w:t xml:space="preserve">9</w:t>
            </w:r>
            <w:r>
              <w:rPr>
                <w:rFonts w:hint="eastAsia" w:ascii="宋体" w:hAnsi="宋体" w:eastAsia="宋体" w:cs="宋体"/>
                <w:i w:val="0"/>
                <w:iCs w:val="0"/>
                <w:color w:val="auto"/>
                <w:sz w:val="24"/>
                <w:szCs w:val="24"/>
                <w:u w:val="none"/>
                <w:lang w:val="en-US" w:eastAsia="zh-CN" w:bidi="ar"/>
              </w:rPr>
              <w:t xml:space="preserve">分）为一般参数要求，每有一项不满足的扣0.0</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分，扣完为止，其他参数以《技术响应偏离表》中列出响应及偏离情况为准</w:t>
            </w:r>
            <w:r>
              <w:rPr>
                <w:rFonts w:hint="eastAsia" w:ascii="宋体" w:hAnsi="宋体" w:cs="宋体"/>
                <w:i w:val="0"/>
                <w:iCs w:val="0"/>
                <w:color w:val="auto"/>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w:t>
            </w:r>
            <w:r>
              <w:rPr>
                <w:rFonts w:hint="eastAsia" w:ascii="宋体" w:hAnsi="宋体" w:eastAsia="宋体" w:cs="宋体"/>
                <w:i w:val="0"/>
                <w:iCs w:val="0"/>
                <w:color w:val="auto"/>
                <w:sz w:val="24"/>
                <w:szCs w:val="24"/>
                <w:u w:val="none"/>
                <w:lang w:val="en-US" w:eastAsia="zh-CN" w:bidi="ar"/>
              </w:rPr>
              <w:t xml:space="preserve">指定证明材料要求的未按指定要求提供相关证明材料的将视为无效响应。（3）无指定证明材料要求的以加盖投标人公章的《技术要求响应及偏离表》为准。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购清单中技术要求前标有“☆☆”的技术参数（共10条，每条1分，合计10分），投标人需提供产品功能演示视频，评标委员会根据投标人提供的产品功能演示视频进行评分：每项演示功能符合采购需求要求，业务逻辑准确、系统结构清晰的，得1分；功能基本符合采购需求要求，或业务逻辑较准确、系统结构较为清晰的，得0.5分；功能与项目实际需求有偏差，或业务逻辑一般、系统结构不清晰的不得分。</w:t>
            </w:r>
            <w:r/>
          </w:p>
        </w:tc>
      </w:tr>
      <w:tr>
        <w:trPr>
          <w:trHeight w:val="1560"/>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投标人自2023年1月1日以来（以合同签订时间为准）承担过类似项目业绩的，每有一个得1分，最高得3分。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（2）合同甲方履约评价中出现“不满意”或“差”或“不合格”或同等意思表达的，该业绩不得分。</w:t>
            </w:r>
            <w:r/>
          </w:p>
        </w:tc>
      </w:tr>
      <w:tr>
        <w:trPr>
          <w:trHeight w:val="51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1872"/>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企业拟投入</w:t>
            </w:r>
            <w:r>
              <w:rPr>
                <w:rFonts w:hint="eastAsia" w:ascii="宋体" w:hAnsi="宋体" w:eastAsia="宋体" w:cs="宋体"/>
                <w:i w:val="0"/>
                <w:iCs w:val="0"/>
                <w:color w:val="auto"/>
                <w:sz w:val="24"/>
                <w:szCs w:val="24"/>
                <w:u w:val="none"/>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1、投标人针对本项目拟派的项目负责人具有行业行政主管部门或人社部门颁发的信息系统项目管理师证书的得1分；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2、投标人拟投入其他人员（不含项目负责人）具有行业行政主管部门或人社部门颁发的系统规划与管理师、数据库系统工程师、网络工程师</w:t>
            </w:r>
            <w:r>
              <w:rPr>
                <w:rFonts w:hint="eastAsia" w:ascii="宋体" w:hAnsi="宋体" w:cs="宋体"/>
                <w:i w:val="0"/>
                <w:iCs w:val="0"/>
                <w:color w:val="auto"/>
                <w:sz w:val="24"/>
                <w:szCs w:val="24"/>
                <w:u w:val="none"/>
                <w:lang w:val="en-US" w:eastAsia="zh-CN" w:bidi="ar"/>
              </w:rPr>
              <w:t xml:space="preserve">证书</w:t>
            </w:r>
            <w:r>
              <w:rPr>
                <w:rFonts w:hint="eastAsia" w:ascii="宋体" w:hAnsi="宋体" w:eastAsia="宋体" w:cs="宋体"/>
                <w:i w:val="0"/>
                <w:iCs w:val="0"/>
                <w:color w:val="auto"/>
                <w:sz w:val="24"/>
                <w:szCs w:val="24"/>
                <w:u w:val="none"/>
                <w:lang w:val="en-US" w:eastAsia="zh-CN" w:bidi="ar"/>
              </w:rPr>
              <w:t xml:space="preserve">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1）上述项目组成员必须为本单位员工，需提供投标人为其缴纳的2025年11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tc>
      </w:tr>
      <w:tr>
        <w:trPr>
          <w:trHeight w:val="9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1、整体实施方案（5分）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整体实施方案”制定，评委根据以下标准综合打分：①方案合理且优于采购需求的得5分；②方案内容详细，能够满足采购需求的得3分；③方案不完整承诺后期优化能满足采购基本要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2、网络机房与综合布线系统深化方案（5分）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网络机房与综合布线系统深化方案”制定，评委根据以下标准综合打分：①方案符合现场实际，设计合理、内容全面、组织严谨、关键节点把控到位，优于采购需求的，得5分；②方案基本符合现场实际，设计基本合理、具备可行性的，满足采购需求的得3分；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制定，评委根据以下标准综合打分：①充分调研现状，方案契合实际、设计全面合理、科学可行的，优于采购需求的得5分；②方案基本满足招标要求，标准与规范明确，但对现状了解不全面、设计较简单、基本可行的，满足采购需求的得3分； ③措施简单、针对性一般的，承诺后期优化能满足采购需求的得1分； 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4、信息安全防护方案（5分）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采购需求—项目实施要求”中“信息安全防护方案”制定，评委根据</w:t>
            </w:r>
            <w:r>
              <w:rPr>
                <w:rFonts w:hint="eastAsia" w:ascii="宋体" w:hAnsi="宋体" w:cs="宋体"/>
                <w:i w:val="0"/>
                <w:iCs w:val="0"/>
                <w:color w:val="auto"/>
                <w:sz w:val="24"/>
                <w:szCs w:val="24"/>
                <w:u w:val="none"/>
                <w:lang w:val="en-US" w:eastAsia="zh-CN" w:bidi="ar"/>
              </w:rPr>
              <w:t xml:space="preserve">投标人提交的方案按</w:t>
            </w:r>
            <w:r>
              <w:rPr>
                <w:rFonts w:hint="eastAsia" w:ascii="宋体" w:hAnsi="宋体" w:eastAsia="宋体" w:cs="宋体"/>
                <w:i w:val="0"/>
                <w:iCs w:val="0"/>
                <w:color w:val="auto"/>
                <w:sz w:val="24"/>
                <w:szCs w:val="24"/>
                <w:u w:val="none"/>
                <w:lang w:val="en-US" w:eastAsia="zh-CN" w:bidi="ar"/>
              </w:rPr>
              <w:t xml:space="preserve">以下标准综合打分：①充分调研现状，方案契合实际、设计全面合理、科学可行的，优于采购需求的得5分； ②方案基本满足招标要求，标准与规范明确，但对现状了解不全面、设计较简单、基本可行的，能满足采购需求的得3分； 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5、智慧档案馆库深化方案（5分）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采购需求—项目实施要求”中“智慧档案馆库深化方案”制定，提交针对性的深化设计方案，评委根据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内容进行综合打分：①方案内容论述详细、科学合理、完全贴合采购实际的，且设计合理、内容全面、组织严谨、关键节点把控到位，优于采购需求的得5分；②方案基本符合现场实际，阐述无明显缺陷、设计基本合理、具备可行性的，满足采购需求的得3分；③方案内容空泛、针对性一般的，承诺后期优化能满足采购需求的得1分；④未提供或不符合</w:t>
            </w:r>
            <w:r>
              <w:rPr>
                <w:rFonts w:hint="eastAsia" w:ascii="宋体" w:hAnsi="宋体" w:cs="宋体"/>
                <w:i w:val="0"/>
                <w:iCs w:val="0"/>
                <w:color w:val="auto"/>
                <w:sz w:val="24"/>
                <w:szCs w:val="24"/>
                <w:u w:val="none"/>
                <w:lang w:val="en-US" w:eastAsia="zh-CN" w:bidi="ar"/>
              </w:rPr>
              <w:t xml:space="preserve">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rPr>
              <w:t xml:space="preserve">6、风险预防及控制方案（2分）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投标人根据招标文件“第四部分 采购需求—项目实施要求”中“风险预防及控制措施”制定，</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w:t>
            </w:r>
            <w:r>
              <w:rPr>
                <w:rFonts w:hint="eastAsia" w:ascii="宋体" w:hAnsi="宋体" w:eastAsia="宋体" w:cs="宋体"/>
                <w:i w:val="0"/>
                <w:iCs w:val="0"/>
                <w:color w:val="auto"/>
                <w:sz w:val="24"/>
                <w:szCs w:val="24"/>
                <w:u w:val="none"/>
                <w:lang w:val="en-US" w:eastAsia="zh-CN"/>
              </w:rPr>
              <w:t xml:space="preserve">内容进行综合打分： ①内容完整翔实，能够针对采购需求内容要求而细化制定且优于采购需求的，得2分；②方案内容完整，针对采购需求内容要求而制定较齐全，内容表述有一定的偏差，但不影响实质性意思表达，能够满足采购需求的，得1分； ③未提供或不符合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w:t>
            </w:r>
            <w:r/>
          </w:p>
        </w:tc>
        <w:tc>
          <w:tcPr>
            <w:tcBorders>
              <w:top w:val="single" w:color="000000" w:sz="4" w:space="0"/>
              <w:left w:val="single" w:color="000000" w:sz="4"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w:t>
            </w:r>
            <w:r/>
          </w:p>
        </w:tc>
        <w:tc>
          <w:tcPr>
            <w:tcBorders>
              <w:top w:val="single" w:color="000000" w:sz="4" w:space="0"/>
              <w:left w:val="single" w:color="000000" w:sz="4" w:space="0"/>
              <w:bottom w:val="single" w:color="000000" w:sz="8"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8"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rPr>
              <w:t xml:space="preserve">投标人根据招标文件“第四部分采购需求—售后服务要求”制定售后服务方案；</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1）售后服务（3分）方案内容详细全面，能够针对采购需求内容要求而细化制定且优于采购需求得3分；方案内容详细完整，满足采购需求得2分；方案内容不完整但承诺后期优化能够满足采购需求的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（2）培训服务方案（2分）内容完整翔实，能够针对采购需求内容要求而细化制定，优于采购需求得2分；方案内容详细完整，满足采购需求得1分；未提供或不符合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cs="宋体"/>
                <w:i w:val="0"/>
                <w:iCs w:val="0"/>
                <w:color w:val="auto"/>
                <w:sz w:val="24"/>
                <w:szCs w:val="24"/>
                <w:u w:val="none"/>
                <w:lang w:val="en-US" w:eastAsia="zh-CN"/>
              </w:rPr>
              <w:t xml:space="preserve">。</w:t>
            </w:r>
            <w:r/>
          </w:p>
        </w:tc>
      </w:tr>
    </w:tbl>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5"/>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005"/>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EB7816f6fdbc96408ea7b735c177a21493"/>
      <w:r/>
      <w:bookmarkStart w:id="116" w:name="_Toc9629"/>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bookmarkStart w:id="117" w:name="_Toc30573"/>
      <w:r/>
      <w:bookmarkStart w:id="118" w:name="_Toc22014"/>
      <w:r/>
      <w:bookmarkStart w:id="119" w:name="_Toc23115"/>
      <w:r>
        <w:rPr>
          <w:rFonts w:hint="eastAsia" w:ascii="仿宋" w:hAnsi="仿宋" w:eastAsia="仿宋"/>
          <w:color w:val="auto"/>
          <w:sz w:val="24"/>
          <w:szCs w:val="24"/>
          <w:lang w:val="en-US" w:eastAsia="zh-CN"/>
        </w:rPr>
        <w:t xml:space="preserve">项目属性：货物类项目</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本项目采购</w:t>
      </w:r>
      <w:r>
        <w:rPr>
          <w:rFonts w:hint="eastAsia" w:ascii="仿宋" w:hAnsi="仿宋" w:eastAsia="仿宋"/>
          <w:color w:val="auto"/>
          <w:sz w:val="24"/>
          <w:szCs w:val="24"/>
          <w:lang w:val="en-US" w:eastAsia="zh-CN"/>
        </w:rPr>
        <w:t xml:space="preserve">标的对应的中小企业划分标准所属行业：</w:t>
      </w:r>
      <w:bookmarkEnd w:id="117"/>
      <w:r/>
      <w:bookmarkEnd w:id="118"/>
      <w:r/>
      <w:bookmarkEnd w:id="119"/>
      <w:r/>
      <w:bookmarkStart w:id="120" w:name="_Toc7021"/>
      <w:r/>
      <w:bookmarkStart w:id="121" w:name="_Toc81575206"/>
      <w:r/>
      <w:bookmarkStart w:id="122" w:name="_Toc81575169"/>
      <w:r/>
      <w:bookmarkStart w:id="123" w:name="_Toc176774461"/>
      <w:r>
        <w:rPr>
          <w:rFonts w:hint="eastAsia" w:cs="Calibri"/>
          <w:color w:val="auto"/>
          <w:sz w:val="24"/>
          <w:szCs w:val="24"/>
          <w:u w:val="single"/>
          <w:lang w:val="en-US" w:eastAsia="zh-CN" w:bidi="ar-SA"/>
        </w:rPr>
        <w:t xml:space="preserve">工业</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本项目不接受进口产品。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1、项目名称：泗洪县档案馆改扩建信息化项目</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2、主要内容为：泗洪县档案馆改扩建信息化项目主要包含数字档案馆信息中心建设、智能密集架（含樟木板）、档案馆库房“十防”设施、智慧馆库综合管控平台、安防中心、弱电安装、公共区域综合安防等，具体详见采购清单。</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3、供货地点：采购人指定地点。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4、供 货 期：签订合同后150日内完成全部采购内容。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5、售后服务期：3年（如产品清单中有特殊要求的按清单执行）。</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6、质  量：合格，符合国家、行业质量要求。有最新标准的参照最新标准执行。</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rPr>
        <w:t xml:space="preserve">预付款</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采购合同签订后预付合同价款的30%；</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lang w:val="en-US" w:eastAsia="zh-CN"/>
        </w:rPr>
        <w:t xml:space="preserve">进度款：全部货物供货、安装</w:t>
      </w:r>
      <w:r>
        <w:rPr>
          <w:rFonts w:hint="eastAsia" w:ascii="仿宋" w:hAnsi="仿宋" w:eastAsia="仿宋"/>
          <w:color w:val="auto"/>
          <w:sz w:val="24"/>
          <w:szCs w:val="24"/>
        </w:rPr>
        <w:t xml:space="preserve">完成且</w:t>
      </w:r>
      <w:r>
        <w:rPr>
          <w:rFonts w:hint="eastAsia" w:ascii="仿宋" w:hAnsi="仿宋" w:eastAsia="仿宋"/>
          <w:color w:val="auto"/>
          <w:sz w:val="24"/>
          <w:szCs w:val="24"/>
          <w:lang w:val="en-US" w:eastAsia="zh-CN"/>
        </w:rPr>
        <w:t xml:space="preserve">验收合格后</w:t>
      </w:r>
      <w:r>
        <w:rPr>
          <w:rFonts w:hint="eastAsia" w:ascii="仿宋" w:hAnsi="仿宋" w:eastAsia="仿宋"/>
          <w:color w:val="auto"/>
          <w:sz w:val="24"/>
          <w:szCs w:val="24"/>
        </w:rPr>
        <w:t xml:space="preserve">采购人将货款支付到合同价款的100%；</w:t>
      </w:r>
      <w:r/>
    </w:p>
    <w:p>
      <w:pPr>
        <w:ind w:firstLine="480"/>
        <w:keepLines w:val="0"/>
        <w:keepNext w:val="0"/>
        <w:pageBreakBefore w:val="0"/>
        <w:spacing w:line="540" w:lineRule="exact"/>
        <w:widowControl w:val="off"/>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Calibri"/>
          <w:color w:val="auto"/>
          <w:sz w:val="24"/>
          <w:szCs w:val="24"/>
          <w:lang w:val="en-US" w:eastAsia="zh-CN" w:bidi="ar-SA"/>
        </w:rPr>
        <w:t xml:space="preserve">资金支付的时间：收到供应商发票10个工作日内</w:t>
      </w:r>
      <w:r>
        <w:rPr>
          <w:rFonts w:hint="eastAsia" w:ascii="仿宋" w:hAnsi="仿宋" w:eastAsia="仿宋" w:cs="仿宋"/>
          <w:color w:val="auto"/>
          <w:sz w:val="28"/>
          <w:szCs w:val="28"/>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注：在签订合同时，中标人明确表示无需预付款或者主动要求降低预付款比例的金额，采购人可不适用预付款规定。</w:t>
      </w:r>
      <w:r/>
    </w:p>
    <w:p>
      <w:pPr>
        <w:pStyle w:val="779"/>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1.本项目对采购本国产品给予政策支持，具体内容见招标文件“第三</w:t>
      </w:r>
      <w:r>
        <w:rPr>
          <w:rFonts w:hint="eastAsia" w:ascii="仿宋" w:hAnsi="仿宋" w:eastAsia="仿宋" w:cs="Calibri"/>
          <w:color w:val="auto"/>
          <w:sz w:val="24"/>
          <w:szCs w:val="24"/>
          <w:lang w:val="en-US" w:eastAsia="zh-CN"/>
        </w:rPr>
        <w:t xml:space="preserve">部分</w:t>
      </w:r>
      <w:r>
        <w:rPr>
          <w:rFonts w:hint="eastAsia" w:ascii="仿宋" w:hAnsi="仿宋" w:eastAsia="仿宋" w:cs="Calibri"/>
          <w:color w:val="auto"/>
          <w:sz w:val="24"/>
          <w:szCs w:val="24"/>
          <w:lang w:val="en-US" w:eastAsia="zh"/>
        </w:rPr>
        <w:t xml:space="preserve"> 资格审查及评标办法”。</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（一）</w:t>
      </w:r>
      <w:r>
        <w:rPr>
          <w:rFonts w:hint="eastAsia" w:ascii="仿宋" w:hAnsi="仿宋" w:eastAsia="仿宋" w:cs="Calibri"/>
          <w:color w:val="auto"/>
          <w:sz w:val="24"/>
          <w:szCs w:val="24"/>
          <w:lang w:val="en-US" w:eastAsia="zh"/>
        </w:rPr>
        <w:t xml:space="preserve">采购清单及技术参数要求</w:t>
      </w:r>
      <w:r/>
    </w:p>
    <w:tbl>
      <w:tblPr>
        <w:tblStyle w:val="775"/>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2"/>
        <w:gridCol w:w="1209"/>
        <w:gridCol w:w="6240"/>
        <w:gridCol w:w="920"/>
        <w:gridCol w:w="821"/>
      </w:tblGrid>
      <w:tr>
        <w:trPr>
          <w:jc w:val="center"/>
          <w:trHeight w:val="280"/>
        </w:trPr>
        <w:tc>
          <w:tcPr>
            <w:gridSpan w:val="5"/>
            <w:shd w:val="clear" w:color="auto" w:fill="auto"/>
            <w:tcW w:w="10032"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泗洪县档案馆改扩建信息化项目采购清单</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A机房建设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一、机房装修</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顶面工程（机房，配电间）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垃圾清运出院区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#1.垃圾清运出院区，包含本项目建设所产生垃圾的清运及处置。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铝合金微孔扣板吊顶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#1.600×600mm,厚度≥0.8mm。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轻钢龙骨吊顶平面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#1.轻钢龙骨50系列。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天花压边条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#1.L型铝合金厚度1mm，≥25mm宽。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防尘漆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#1.适配混凝土面，材质聚氨酯，VOC含量≤50g/L，面漆。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#1.软质绝热保温节能材料，耐热阻燃、防水，厚度≥10mm。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#1.吊杆、吊挂件。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墙、柱面装修工程（主机房，配电间）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墙体砌筑</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#1.240mm非承重机房隔墙，含墙面粉刷找平。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彩钢板墙柱面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#1.规格：≥1200mm宽，表材≥0.5mm烤漆钢板，内衬≥12mm厚防火石膏板复合板材；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龙骨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#1.轻钢龙骨≥75×45×0.5mm。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岩棉</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#1.防火等级A级，保温岩棉≥50mm厚，≥60KG/m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包门套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#1.门尺寸≥1500*2200mm，采用防火多层板衬底，包边材料采用与机房墙体饰面同物质材料。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不锈钢踢脚线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#1.不锈钢≥100*0.9mm。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九厘板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#1.踢脚线衬板，采用≥9mm规格的防火多层板裁剪制作。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防火涂料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#1.踢脚线衬板刷防火涂料，室内膨胀型。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走道乳胶漆修复</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#1.乳胶漆类别：面漆，光泽：哑光,环保型，含腻子粉基层批刮。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#1.U型压条、M型扣件、阴角件、阳角件。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地面工程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陶瓷面无边抗静电地板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#1.规格：防静电地板≥35×600×600mm，表面全陶瓷砖材质，地板架高不小于20cm，上下钢板总厚不小于1mm，支架、横梁方管壁厚不小于1mm。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#1.20mmB1级，带铝箔贴面。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入口踏步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#1.入口踏步/斜坡处理，4号镀锌角钢支架搭建踏步支撑框，防静电地板饰面，定制型厚度不小于1.0mm不锈钢L型边条收边。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A-21</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#1.设备坡道采用50*5mm镀锌L型型材钢焊接，四周膨胀螺栓固定。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A-22</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地板吸</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#1.双爪吸盘，合金材质，水平吸力90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以上，垂直吸力80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A-23</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防水围堰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#1.防水围堰采用砂浆混凝土预制，围堰截面：宽度100*高度80mm。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A-24</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给排水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#1.空调给水管：PPR 材质、DN20，含球阀、弯通、截止阀等辅材。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#2.空调排水管：重力管网式排水；支管为 PPR 热水管 DN32、主管为 PPR 热水管 DN50，含管道安装辅材。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A-25</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#1.宽3cm铝合金7字压条沿墙、踏步覆盖，钢架支撑。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门、窗，设备底座工程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钢质防火门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#1.门尺寸≥1500*2200mm甲级钢制防火门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.含五金配件，门梁、立柱钢板厚度不小于1.5mm，门板厚度不小于0.7mm，门芯填充物符合A类防火等级。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防火玻璃隔断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#1.规格：≥40*60mm方钢定制隔断基础，≥12mm钢化玻璃，防火等级A级，不锈钢包边。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玻璃门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#1.门尺寸≥900*2600mm玻璃门，≥12mm钢化玻璃含五金配件，地弹簧采用不低于220B型，门夹，门轴，拉手为不锈钢材质。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#1.≥80*40mm镀锌方钢制作，不锈钢包边。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闭门器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#1.液压型，与门配套。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模块化机柜设备支架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#1.尺寸≥600*1200mm，承重架≥80*40*1.8mm热镀锌方钢制作。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钢架底座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#1.尺寸≥600*1200mm电池架，UPS主机，配电柜钢架底座，承重架采用≥5mm厚镀锌型材钢制作。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空调室外机钢架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#1.采用热镀锌型材钢制作，钢架焊接处需打磨、并做防锈处理。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#1.膨胀螺栓、膨胀螺丝。</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二、机房供配电及防雷系统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电气配电柜</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ATS动力配电柜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电源切换器1台，主路400A塑壳开关不低于1台，UPS市电输入320A塑壳开关不低于1台，列头柜市电输出320A塑壳开关不低于1台，市电柜输出200A塑壳开关不低于1台，浪涌前置开关160A断路器不低于1台，浪涌前置开关63A断路器不低于1台，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市电配电柜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#1.主路250A塑壳空开不低于1台，空调市电63A断路器不低于5台，新风机控制箱市电输入32A断路器不低于1台，照明插座市电配电箱输入32A断路器不低于1台，备用25A断路器不低于1台，浪涌前置63A断路器不低于1台</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#1.不小于12回路16A断路器，其中带漏电保护插座开关不低于4回路，备用开关不低于2回路，电箱尺寸≥300*500*120mm。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格栅日光灯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#1.LED光源，规格尺寸≥600*600mm，功率≥48W，表面处理采用静电喷塑工艺，涂层均匀，防锈、耐腐蚀。</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628"/>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应急疏散照明灯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，内置可充蓄电池，应急时间：≥90min；应急转换时间≤5s。</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扳式暗开关安装</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#1.纯平86型，双联单控。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工业连接器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#1.220V-25A。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#1.单相二级加三极暗插座10A/250V。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桥架、管线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封闭式镀锌桥架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#1.桥架规格300*100，采用Q235B国标冷轧钢板，桥架壁厚≥1.5mm，盖板壁厚≥1.2mm。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网格式桥架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#1.桥架规格200*100，钢丝直径≥4.0mm，边框厚度≥5.0mm。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金属软管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#1.≥φ20，外有塑套，公称直径≥φ20mm，内径≥16mm，壁厚≥0.8mm。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#1.≥KBG20mm。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#1.ZC-YJV4*150+1*70mm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#1.ZC-YJV4*95+1*50mm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#1.ZC-YJV-5x4mm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#1.吊筋、横担、KBG管线接头等安装辅材。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防雷接地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绝缘子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#1.壳体采用塑壳材料，内部填充不饱和聚酯树脂、玻璃纤维、填料、助剂等多种主辅料经高温压制，可承载600V以下。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#1.≥300*200*120mm，配厚4.0*宽50*长210mm紫铜排。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引下线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跨接接地线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#1.膨胀螺丝(含垫片)等安装辅材。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三、机房空气调节系统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#1.额定新风量≥1500m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/h，送风静压≥200Pa，电机性能采用直流变频电机，控制方式支持手动/自动模式，功能配置具备防冻保护、过载保护、故障报警功能，材质外壳采用镀锌钢板或不锈钢板，表面静电喷涂处理。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#1.新风管道密闭防火阀，状态常开，接24v消防信号。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#1.≥0.6mm镀锌钢板，拉筋+B1级20mm厚橡塑保温。</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#1.规格300*300mm铝合金定制，表面采用烤漆喷涂。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格栅进风口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#1.铝合金材质，350*200mm（带滤网）。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四、消防系统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无管网消防系统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#1.GQQ120/2.5；含灭火剂瓶组、瓶组箱、压力继电器、喷嘴等。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#1.GQQ70/2.5；含灭火剂瓶组、瓶组箱、压力继电器、喷嘴等。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药剂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#1.HFC-227ea。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感烟点型探测器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#1.工作电压：24 V（脉冲调制），工作电流：监视状态：＜300 uA 报警状态：＜1.5 mA，接线方式：无极性二总线制，编码方式：通过编码器进行电编码，地址编码 1—324 任选。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感温点型探测器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#1.工作电压：总线24V，工作指示：状态指示灯</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巡检时闪烁</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报警时常亮，接线方式：二线制，编码类型：电子编码型。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智能探测器底座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#1.探测器配套支架底座。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紧急启停按钮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#1.紧急启停按钮（含急停、启动/复位功能）。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气体释放显示灯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#1.采用LED光源，面板印有“气体释放”字样（红色）。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声光报警警报装置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#1.四线制设备，电子编码型。具有声和光的独立设置功能。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气体灭火控制器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#1.壁挂式，不小于7寸真彩液晶屏，≥3个报警回路，≥3个灭火分区，≥1个报警回路满载200点，带≥6路专线，含备电。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消防信号智能接口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#1.标准机柜式设计，1U高度；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#2.≥16路消防短路信号输入；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#3.面板支持一键取消任务；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#4.标配网络接口，全速率连接最高可达100M；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#5.网络接口：标准RJ45输入；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#6.传输速率≥100Mbps；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#7.支持协议：TCP/IP、UDP、IGMP（组播）。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#1.电子编码，内置CPU，单输入单输出。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#1.ZR-RVS2*1.5mm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#1.ZR-RVV2*1.5mm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排烟系统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#1.风量≥1000m³/h，全压≥300Pa，功率≥0.25kW。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#1.风量≥900m³/h，全压≥250Pa，功率≥0.2kW。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#1.排风管道密闭防火阀（280°），状态常闭，尺寸为≥450*200mm，接24v消防信号。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#1.排风管道密闭防火阀（280°），状态常闭，尺寸为≥300*200mm，接24v消防信号。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9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室内风口散流器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#1.铝合金定制，规格≥300*200mm，距地面300mm安装，双层格栅风口，可手动调节风口方向，合金表面烤漆喷涂。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室外防雨风口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#1.铝合金材质定制，≥400*300mm（带防虫滤网）。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风机控制箱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#1.控制类型：排风/排烟/送风，规格：0.37-22KW，额定电压：220/380V。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五、布线，理线，门禁系统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24口六类网络配线架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#1.全钢架结构；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#2.安装1-24个六类非屏蔽180度模块；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#3.直接卡接信息模块。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#1.12档24口，1U，19英寸机架式。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多模24口光纤配线架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#1.24端口LC-LC光纤配线架。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#1.金属光纤理线环。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#1.国标6类非屏蔽网线。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箱</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24芯万兆多模光缆</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#1.GJFJV，OM3系列，24芯万兆多模</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.光纤类型：50/125um，OM3型光缆，衰减@20℃（dB/Km）：@850 nm≤3.5 dB/km， @1310 nm≤1.5 dB/km，最小弯曲半径：动态：20D (光缆直径)， 静态：10D (光缆直径)，护套类型：PVC护套。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熔纤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#1.含热缩护管。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384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尾纤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#1.FC-FC单工，≥3米/根。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固线器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#1.高分子材质。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#1.万兆多模光纤跳线,长度≥3米，数量≥50根。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服务器机柜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#1.600*1200*2000mm,42U,标准19"机柜，单开前门，双开后门。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深度补件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#1.UPS深度1100mm，机柜深度1200mm。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600宽假机柜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#1.空调对应柜位，600mm宽与机柜外观一致。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2段式侧板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#1.机柜（单边）侧门板，适用于机柜L*H:1200*2000mm。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通道组件产品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1U气流遏制盲板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#1.1U标准19英寸，快速卡扣安装。</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#1.适用于机柜宽度600mm，冷通道宽度1200mm中间位置，含长1111mm，宽485mm，厚5mm钢化玻璃。翻转天窗单开方式，带12V磁力锁，标配2块300mm高*600mm宽天窗支撑板，2块300mm高*600mm宽机柜后围板；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#2.微模块数据中心的封闭通道内宽度应能够满足两侧机柜门同时开启，机柜门的开启角度须不小于110°。</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钢制固定天窗套件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#1.用于监控设备安装；标配2块≥300mm高*600mm宽天窗支撑板，2块≥300mm高*600mm宽机柜后围板。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一键复位电动套件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#1.通道内多功能天窗通过联动装置，一键复位关闭，一键自动开启。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双开自动移门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#1.冷通道自动门，适用1200mm深2000</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高机柜，≥5</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钢化玻璃自动门；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#2.配电动导轨和安全双光束，预留天窗控制开关位置包含2块机柜顶部侧挡板，含门盒包边。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自动门感应器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#1.自动门防夹安全感应器。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照明雷达感应器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#1.照明雷达感应器，DC12V控制电压。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警告式泛光照明</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#1.警告式泛光照明。</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智能12V控制2U主机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#1.安装于机柜后侧立柱，为门禁、天窗、平移门控制器供电。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#1.双排组合30台机柜以下组合通道照明系统及天窗磁力锁控制系统线路，含该通道建设的电气附件，兼容安装：通道照明、显示屏、自动天窗、门禁、手自动门等功能的线路敷设。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#1.机柜接地线，满足国标要求。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#1.水平理线架，1U高度水平方向理线架。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伸缩型跨列线槽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#1.用于1200mm通道列于列线缆跨越。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600宽强弱电槽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#1.600mm机柜顶部走线槽厚度≥1.5mm。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24位国标插座PDU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#1.最大电流32A，含带灯防雷，输出：≥4位国标16A插座。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#1.采用机柜式配电，配电柜尺寸应与IT机柜现场无缝对接、拼柜，尺寸600*1200*2000mm。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总输入≥1*320A/4P；空调输出≥3*63A/3P，预留≥5*20A/1P；UPS输入250A/3P；UPS输出250A/3P；UPS维修旁路250A/4P；市电PDU输出15*32A/1P；UPS主机PDU输出23*32A/1P,≥1*C级防雷器,≥1*精密配电监控单元，≥7寸触摸屏显示，主路与支路全电量监控，带RS485接口,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应配置不小于7寸大屏幕彩色液晶触摸显示屏，支持查询各主路和分路电压、电流、频率、有功功率、无功功率、电度、谐波等电力品质状况，可以实时记录负载曲线变化情况，以及系统在部分故障时的冗余能力。</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电池开关柜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#1.3P200A直流开关含柜体。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#1.用风冷型恒温恒湿机型列间精密空调，水平送风，精密空调制冷量≥40.5KW，显冷量≥40.5KW，标准风量≥9000m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/h，应采用PTC电加热器和电极式加湿，加热量应不小于6KW，加湿量应不小于3kg/h。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#2.采用微模块冷通道方案，精密空调室内机尺寸应为600*1200*2000mm，应与IT机柜现场无缝对接、拼柜。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空调预留位机框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#1.适配列间空调机组。</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空调外机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Cs w:val="0"/>
                <w:color w:val="auto"/>
                <w:sz w:val="24"/>
                <w:szCs w:val="24"/>
                <w:highlight w:val="none"/>
                <w:lang w:val="en-US" w:eastAsia="zh-CN" w:bidi="ar"/>
              </w:rPr>
              <w:suppressLineNumbers w:val="0"/>
            </w:pPr>
            <w:r>
              <w:rPr>
                <w:rStyle w:val="1061"/>
                <w:rFonts w:hint="eastAsia" w:ascii="仿宋" w:hAnsi="仿宋" w:eastAsia="仿宋" w:cs="仿宋"/>
                <w:color w:val="auto"/>
                <w:sz w:val="24"/>
                <w:szCs w:val="24"/>
                <w:lang w:val="en-US" w:eastAsia="zh-CN" w:bidi="ar"/>
              </w:rPr>
              <w:t xml:space="preserve">#1.精密空调制冷量≥12.5KW，标准风量≥3500m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#2.精密空调具备智能温湿度调节功能，温度调节范围为+16℃～+40℃，温度调节精度为±1℃；湿度调节范围为20%～95%RH，湿度调节精度为±5%RH；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#3.制冷消耗功率需≤4KW，加热量需≥3KW，加湿量需≥3kg/h；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#4.外机采用高效转子压缩机或全封闭涡旋式压缩机，压缩机名义制冷量应≥13KW，输入功率应≤3.3kW。</w:t>
            </w:r>
            <w:r>
              <w:rPr>
                <w:rStyle w:val="1061"/>
                <w:rFonts w:hint="eastAsia" w:ascii="仿宋" w:hAnsi="仿宋" w:eastAsia="仿宋" w:cs="仿宋"/>
                <w:iCs w:val="0"/>
                <w:color w:val="auto"/>
                <w:sz w:val="24"/>
                <w:szCs w:val="24"/>
                <w:highlight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列间空调配件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#1.包含精密空调安装所需的所有气管、液管,外机安装位置为屋顶。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房间级空调配件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w:t>
            </w:r>
            <w:r>
              <w:rPr>
                <w:rFonts w:hint="eastAsia" w:ascii="仿宋" w:hAnsi="仿宋" w:eastAsia="仿宋" w:cs="仿宋"/>
                <w:i w:val="0"/>
                <w:iCs w:val="0"/>
                <w:color w:val="auto"/>
                <w:sz w:val="24"/>
                <w:szCs w:val="24"/>
                <w:u w:val="none"/>
                <w:lang w:val="en-US" w:eastAsia="zh-CN" w:bidi="ar"/>
              </w:rPr>
              <w:t xml:space="preserve">安装所需的所有</w:t>
            </w:r>
            <w:r>
              <w:rPr>
                <w:rFonts w:hint="eastAsia" w:ascii="仿宋" w:hAnsi="仿宋" w:eastAsia="仿宋" w:cs="仿宋"/>
                <w:i w:val="0"/>
                <w:iCs w:val="0"/>
                <w:color w:val="auto"/>
                <w:sz w:val="24"/>
                <w:szCs w:val="24"/>
                <w:u w:val="none"/>
                <w:lang w:val="en-US" w:eastAsia="zh-CN" w:bidi="ar"/>
              </w:rPr>
              <w:t xml:space="preserve">铜管、气管等，</w:t>
            </w:r>
            <w:r>
              <w:rPr>
                <w:rFonts w:hint="eastAsia" w:ascii="仿宋" w:hAnsi="仿宋" w:eastAsia="仿宋" w:cs="仿宋"/>
                <w:i w:val="0"/>
                <w:iCs w:val="0"/>
                <w:color w:val="auto"/>
                <w:sz w:val="24"/>
                <w:szCs w:val="24"/>
                <w:u w:val="none"/>
                <w:lang w:val="en-US" w:eastAsia="zh-CN" w:bidi="ar"/>
              </w:rPr>
              <w:t xml:space="preserve">外机安装位置为屋顶。</w:t>
            </w:r>
            <w:r>
              <w:rPr>
                <w:rFonts w:hint="eastAsia" w:ascii="仿宋" w:hAnsi="仿宋" w:eastAsia="仿宋" w:cs="仿宋"/>
                <w:i w:val="0"/>
                <w:iCs w:val="0"/>
                <w:color w:val="auto"/>
                <w:sz w:val="24"/>
                <w:szCs w:val="24"/>
                <w:u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动环监控</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智能显示终端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#1.≥21.5寸电容触摸显示器，分辨率≥1920*1080；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#2.运行内存≥2GB，固态硬盘≥8GB，≥8核64位架构，≥8K视频编解码，主频≥2.4GHZ。</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智能一体化监控主机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#1.1U机架式结构，前面板具备RJ45接口；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#2.≥2网口，双电源冗余热备，≥1个内置天线接口；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#3.≥8个RJ45形态RS485串口，≥2个为RS232/RS485复用串口；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#4.≥8路DI，≥8路AI/DI复用接口，≥4路DO输出接口；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#5.≥2个RJ45形态韦根输入接口；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#6.≥2个USB接口。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可支持4台(单/三相)UPS的监控、4台智能配电、4台精密配电、8*8=64路普通市电开关状态检测、8台精密空调，60路温湿度、8路DI检测（最大可扩展至40路DI检测)、8路AI模拟量检测（可转换成DI干接点）、4路DO输出控制、支持网络视频及网络门禁监控、支持ModbusTCP/SNMP北向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MDC-设备接入软件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#1.配电、UPS、空调等新协议接入。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MDC监控软件-SNMP北向接口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#1.提供标准SNMP协议。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4G短信模块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#1.包含4G短信、电话语音告警模块。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8口千兆POE网络交换机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#1.8口千兆，支持POE，单口≥30W，整机≥60W。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智能温湿度传感器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#1专用于机房环境的高精度数字式温湿度传感器，温度检测范围-20℃～70℃，湿度检测范围10%～90%，全双工方式，抗干扰性强。DC12V供电，RS-485接口。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区域式漏水适配模块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#1.不定位检测报警，检测漏水状态，通过漏水感应线检测到漏水后，通过采集器输出一个继电器报警信号，并可发出蜂鸣器警报，占用一个开关量检测端口，灵敏度可调。</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烟感探测器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#1.12VDC(9V～35VDC)，待机电流：&lt;500uA，告警电流：&lt;18mA。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#1.工作电压：12V；工作电流：70mA。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双门网络型门禁控制器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#1.门禁控制主机，提供WEB访问接口，可接入动环，支持远程开关，多个门配置多台。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专用电源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#1.12V3A直流电源供电。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IC卡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#1.IC卡。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人脸指纹门禁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#1.带刷卡人脸识别：适用于冷通道自动门/翻转门/机房，一个通道标准配置2个，冷通道人脸识别、刷卡、指纹、密码及其组合的认证方式，可独立接入动环，屏幕≥4寸。</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红外半球摄像机</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#1.不低于200万1/2.7"CMOS日夜型半球型网络摄像机，H.265，4mm，阵列红外20-30米</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rPr>
                <w:rFonts w:hint="eastAsia" w:cs="仿宋"/>
                <w:i w:val="0"/>
                <w:iCs w:val="0"/>
                <w:color w:val="auto"/>
                <w:sz w:val="24"/>
                <w:szCs w:val="24"/>
                <w:u w:val="none"/>
                <w:lang w:val="en-US" w:eastAsia="zh-CN" w:bidi="ar"/>
              </w:rPr>
              <w:t xml:space="preserve">支持</w:t>
            </w:r>
            <w:r>
              <w:rPr>
                <w:rFonts w:hint="eastAsia" w:ascii="仿宋" w:hAnsi="仿宋" w:eastAsia="仿宋" w:cs="仿宋"/>
                <w:i w:val="0"/>
                <w:iCs w:val="0"/>
                <w:color w:val="auto"/>
                <w:sz w:val="24"/>
                <w:szCs w:val="24"/>
                <w:u w:val="none"/>
                <w:lang w:val="en-US" w:eastAsia="zh-CN" w:bidi="ar"/>
              </w:rPr>
              <w:t xml:space="preserve">DC12V，POE</w:t>
            </w:r>
            <w:r>
              <w:rPr>
                <w:rFonts w:hint="eastAsia" w:cs="仿宋"/>
                <w:i w:val="0"/>
                <w:iCs w:val="0"/>
                <w:color w:val="auto"/>
                <w:sz w:val="24"/>
                <w:szCs w:val="24"/>
                <w:u w:val="none"/>
                <w:lang w:val="en-US" w:eastAsia="zh-CN" w:bidi="ar"/>
              </w:rPr>
              <w:t xml:space="preserve">双模式</w:t>
            </w:r>
            <w:r>
              <w:rPr>
                <w:rFonts w:hint="eastAsia" w:ascii="仿宋" w:hAnsi="仿宋" w:eastAsia="仿宋" w:cs="仿宋"/>
                <w:i w:val="0"/>
                <w:iCs w:val="0"/>
                <w:color w:val="auto"/>
                <w:sz w:val="24"/>
                <w:szCs w:val="24"/>
                <w:u w:val="none"/>
                <w:lang w:val="en-US" w:eastAsia="zh-CN" w:bidi="ar"/>
              </w:rPr>
              <w:t xml:space="preserve">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4路硬盘录像机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#1.≥4路机架式高清网络硬盘录像机，≥1盘位，≥4个RJ4510M/100M自适应以太网口，支持POE功能。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2T监控硬盘</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#1.容量：2T,缓存：≥256MB，接口：SATA接口。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A-152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#1.金属电动移门，门宽9.6米，门高不低于1.6米。</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#2.含电源接入。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安装辅材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#1.含安装所需KBG16、管线接头等辅材。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B总控室建设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扩声系统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#1.不小于4×3.5"全频单元，额定功率不小于150W/8Ω；</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#2.灵敏度不小于93dB，最大声压级不小于121dB。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柱阵列扬声器功放</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#1.设备具有保护功能，可以对电源软启动、短路，过载、直流、过热、变压器过热、DC漂移等多重检测保护；</w:t>
            </w:r>
            <w:r/>
          </w:p>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2.具备物联网运维管理平台接入功能，可以通过网线连接到本机，进行远程控制及性能调试(控制功放待机/开机、静音、增益实时监控通道电压、温度、电流、功率和工作状态）（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#3.输入通道具有静音、增益、噪声门、延时、相位、分频和均衡功能，输出通道具有静音、增益、延时、相位、分频、均衡和压限功能。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#1.≥8路MIC/LINE（COMBOXLR接口），≥1组立体声输入（XLR接口），≥1组立体声RCA输入，≥1路USB输入；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#2.≥8路插入点（6.35接口）；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#3.≥2路立体声输出，≥2路编组输出，≥2路辅助输出，≥1路立体声监听输出；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#4.≥1组立体声录音输出；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#5.效果可以发送至辅助输出，编组输出与立体声输出；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#6.多媒体输入可以发送至辅助输出、编组输出与立体声输出；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#7.每路话放带低切功能，最大输出电平≥18dBu；</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#8.信噪比≥95dB；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#9.最大输入电平≥18dBu，支持蓝牙接收功能；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#10.内置不低于99种DSP效果器，辅助1支持推子前后切换，主输出≥7段图示均衡器；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智慧运算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#1.≥8路模拟信号输入，≥8路模拟信号输出，设备支持手机、平板、电脑端上位机软件与物联网平台任意切换；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使用PC软件实现DSP数字音频信号处理，包括：AFC、AEC、ANS、AM、AGC、PEQ、延时、分频、矩阵等功能，支持通过物联平台对设备进行场景化管控，调用设备功能进行手动、定时、条件触发，软件支持可视化编程，可选择拉取模块化组件，自由组合成个性化用户界面，并支持一键导入至平板或手机终端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#3.带有≥1路RS232，≥1路RS485,≥4路GPIO接口，可用于控制外部设备可对接外部设备；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以太网接口支持连接局域网进行本地调试控制，支持连接外网，对接物联网平台，进行远程设备监测与控制，支持通过物联网平台实时查看设备在线状态，并查看实时电平、通道静音状态、矩阵混音状态；（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#5.支持物联网平台远程操控设备音频矩阵切换、支持一键静音、调整每路音频增益，控制音量大小；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#6.支持将设备绑定至物联平台任意场所，并在平台中生成系统拓扑图，直观展示系统链路；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#7.设备接口：≥8*AUDIOIN，≥8*AUDIOOUT，≥1*RS232，≥1*RS485，≥4*GPIO，≥1*ETHERNET以太网接口，≥1*USBAUDIO。</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反馈抑制器</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#1.最大输入电平≥18dBu，频率响应：80Hz～15kHz±2dB，总谐波失真(1kHz)：≤0.01%；</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#2.信噪比(A计权)：≥105dB，串音：≥100dB，过载源电动势≥6.1V，双通道陷波器18*2；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#3.不少于12段参量均衡，内置高低通滤波器。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无线传声器</w:t>
            </w:r>
            <w:r/>
          </w:p>
        </w:tc>
        <w:tc>
          <w:tcPr>
            <w:shd w:val="clear" w:color="auto" w:fill="auto"/>
            <w:tcW w:w="6240" w:type="dxa"/>
            <w:vAlign w:val="top"/>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#1.RJ45接口连接互联网，通过TCP/IP协议可对接到物联网平台，进行多频段设备集中控制、状态显示、设备名称自定义、无干扰频率一键部署等；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#2.使用EIA标准金属机箱，采用天线分集式接收线路、CPU控制选讯+导频识别功能；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#3.接收机天线座提供偏置电压，可连接有源对数周期天线提升接收距离和信号质量。并支持射频级联功能，无需天线分配器即可实现≤8套叠机使用；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#4.具有≥3个XLR平衡输出、≥4个TNC-K天线端口、≥1个RJ45网口。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电源时序器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#1.不少于8个国标五孔可控电源插座，单通道最大输出电流不小于10A；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#2.额定总输出电源不小于25A；内置25A电源滤波器；总电源带空气开关；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#3.不少于24组用户存储模式；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#4.控制接口不少于1路RS232、1路RJ45；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#5.支持物联网络连接，可实现远程控制。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会议系统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会议系统主机</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#1.面板具有≥2寸LCD真彩触屏，具有≥5个功能按键对所有会议功能进行集中管控；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#2.具有≥3路8芯单元接口，≥1路8芯扩展主机接口，≥1路RS422/485会议摄像机控制接口；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#3.具有≥1路RS232控制接口，≥1路RJ45接口，可对接中控及会议管理电脑，具有≥1路USB嵌入式程序升级接口；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#5.可设置会议摄像机预置位；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#6.可对接入单元ID进行扫描、编码、更改操作。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会议主席单元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#2.受控于主席单元，在主席优先状态下操作无效；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#5.频率响应：频率响应为100Hz~15KHz，灵敏度：-42±3dB。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会议代表单元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#2.具有优先按键与指示灯，长按优先键可关闭全部正在发言的客席单元；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话筒延长线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#1.≥8芯线缆，长度≥20米。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#1.≥8芯大地插。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网络中控主机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#1.中控主机采用64位内嵌式处理器，配备≥512M内存，≥4GFlash闪存；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#2.具有≥8路可编程双向串行通讯COM口，支持RS-232/485通讯格式；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#3.具有内部通讯≥4芯凤凰接口；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#4.具有≥8路独立可编程红外控制接口；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#5.具有≥8路继电器的常开接口；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#6.具有≥8路I/O输入输出控制接口。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#1.软件支持Windows系统/IOS系列/安卓系统/鸿蒙系统；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#2.软件支持USB认证或序列号两种方式认证授权；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#3.软件支持自定义控制界面、各种场景、情景模式、功能组合界面的设置编写控制；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#4.软件支持RS232/RS485/RS422/IR红外/IO/Zigbee/UDP等控制接口协议；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#5.软件支持通过控制主机控制矩阵、音频处理器等各种对应协议的受控设备控制。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#1.具有≥8路自动、手动电源控制器，内置≥8个20A继电器，负载能力≥4400W/单路；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#2.每路继电器都有三连接点的接线柱，具有常开与常闭的功能；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#3.具有复位按键，支持恢复到出厂的默认设置。具有1路网络接口，支持通过网络实现远程控制；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#4.具有设备运行状态指示灯及≥8个继电器的开关状态指示灯；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#5.具有键盘锁（LOCK）功能；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#6.机器具备ID识别，通过中控主机网络控制多台设备时，可通过ID识别。</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#1.运行内存≥8G；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#2.硬盘存储≥256G；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#3.屏幕尺寸≥11英寸。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#1.无线传输速度≥450Mbps；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#2.有线传输率≥10/100Mbps；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#3.无线传输速率:≥450Mbps。</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显示系统配套</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HDMI矩阵</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#1.具有≥8路HDMI输入，≥8路HDMI输出，分辨率最大支持4096x2160@30Hz，并向下兼容；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#2.HDMI内嵌音频输入和输出，具有≥1路3.5mm音频解嵌输出接口，该接口可同步解嵌指定输出的1路HDMI音频；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#3.具有RS-232输入接口≥1路、RS-232输出接口≥1路、RJ45≥1路，具有1个OFF/ON电源开关；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#4.视频切换功能支持4K30HZ分辨率无缝切换；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智慧电源管理器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#1.输入：三相五线制AC380V±10％，50Hz/60Hz；</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#2.输出≥12路独立输出，每路相电压AC220V±10％，每路带载≥4kW，输出最大可带载48kW;</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#3.短路保护：每路输出配有液压电磁式20A断路器，断路器可提供过载，短路保护;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#4.一键开关：单台设备≥12路输出一键式顺序、逆序开关，也可以每路独立开关；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#5.顺序开关：可以自定义选择任意输出通道为其自定义开关顺序，实现一键式自定义顺序开关；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#6.定时控制：可以自定义选择输出通道定时开启或关闭，可单次运行，也可以循环运行；</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#7.参数监测：每路输出通道都具有电流，电压，功率，温度，开关状态，运行时长与三相平衡监测多种异常情况报警；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▲8.报警管理：具备告警原因显示功能，支持报警日志自动上传云端，可实现手机或电脑端的远程实时监控;（提供具备CMA标识的第三方检测报告原件扫描件，检测报告需体现相关参数）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#9.电气设置：可以设置输入电压过压和欠压阈值，可以为每路输出单独设置电流、功率、温度断电阈值，超出范围报警，能够识别出没有正常工作的设备，也可以选择是否断开输出电源；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#10.安全设置：设备可开启和关闭远程操作功能；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#11.显示≥2.8寸触摸显示屏，可以显示设备状态，日期时间，通道开启状态，每一路漏电、过压，过载等告警状态，可以操控设备。</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#1.YJV5*6mm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#1.六类非屏蔽网线，采用高密度的聚氯乙烯绝缘材料，外皮材料采用阻燃型热塑材料，绝缘导线</w:t>
            </w:r>
            <w:r>
              <w:rPr>
                <w:rFonts w:hint="eastAsia" w:cs="仿宋"/>
                <w:i w:val="0"/>
                <w:iCs w:val="0"/>
                <w:color w:val="auto"/>
                <w:sz w:val="24"/>
                <w:szCs w:val="24"/>
                <w:u w:val="none"/>
                <w:lang w:val="en-US" w:eastAsia="zh-CN" w:bidi="ar"/>
              </w:rPr>
              <w:t xml:space="preserve">为</w:t>
            </w:r>
            <w:r>
              <w:rPr>
                <w:rFonts w:hint="eastAsia" w:ascii="仿宋" w:hAnsi="仿宋" w:eastAsia="仿宋" w:cs="仿宋"/>
                <w:i w:val="0"/>
                <w:iCs w:val="0"/>
                <w:color w:val="auto"/>
                <w:sz w:val="24"/>
                <w:szCs w:val="24"/>
                <w:u w:val="none"/>
                <w:lang w:val="en-US" w:eastAsia="zh-CN" w:bidi="ar"/>
              </w:rPr>
              <w:t xml:space="preserve">紧密的绞线对；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#2.中心十字骨架结构并采用高密度的聚氯乙烯绝缘材料，芯线对数：4对，每芯带有色条区别。</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中控室物联平台</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智慧设备物联管理主机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#1.系统基于大数据、人工智能和物联网进行技术构建，采用B/S架构，通过浏览器即可访问系统，实现系统设备平台化管控；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#2.系统支持可视化编程，内置各类组件，可自由编辑组合，生成可视化一体管控界面，针对系统音视频设备进行集中平台化管控；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#3.支持系统设备多维度管控，具有项目总览工作台，通过图标方式实时显示系统场所数量，设备在线、离线、异常告警情况，进行设备类型以及告警趋势统计；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#4.系统内置多种物联设备管控模块，涵盖声、光、电、视、讯设备，支持设备物联管控，异常情况上报告警，可生成实时系统架构链路图，直观展示系统设备连接状态，异常链路实时告警；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电源管理，远程控制智慧电源设备每路开关，支持顺序、逆序、自由顺序开关，实时监测电源三相平衡状态，监测每项实时电压、电流、功率、温度等数据，支持单路电流、功率、运行时长实时监测，过压、过流、欠压、欠流等异常情况告警，支持电气设置，可编辑电压、电流、功率、温度阈值，可设置异常数据告警和是否断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#6.平台内置音视频管理模块，支持音频设备实时电平上报，可通过平台进行音视频矩阵切换，音频增益调整，预设场景调用；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场景：支持自定义场景，将系统物联网设备进行预设，并进行手动场景、自动、条件触发，可根据场景类型，可根据需求选择设置，根据不同场景类型，可选择场景名称、执行方式、执行设备、条件类型、执行时间等进行设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#8.场景日志：平台能够显示场景日志，可查看具体信息，显示场景是否运行成功；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#9.输入输出接口：前端接口≥1*开关键、≥2*USB2.0、≥1*电源AC接口、≥1*HDMI、≥1*VGA、≥1*C0M、≥2*USB3.0、≥2*USB2.0、≥1*音频输出输入、≥1*网口端口；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#10、系统内置智能拓扑图功能，直观展示系统设备间的连接关系和层次结构，并实时更新状态信息(如在线/离线、告警状态等)支持自定义拓扑样式和布局方式。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#1.平台提供全面的项目监控功能，可实时查看场所分布、在线设备数量、离线设备状态及历史告警趋势，可生成直观的图表报告（如柱状图、折线图等）；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▲2.支持全面的设备实时监测功能，可查看物联网设备的在线状态、历史数据记录，并进行远程控制操作。（提供功能界面截图并加盖投标单位公章）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系统提供高级的自定义场景功能，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#4.平台完善记录所有场景执行情况，可随时查看场景运行日志，了解具体执行结果（如成功、失败或部分成功）以及相关错误信息；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#5.平台搭载基于物联网可视化建模引擎的全域开发架构（可视化编程），依托轻代码开发范式，通过定义标准化物模型，实现对第三方物联终端的协议化集成与语义化交互；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#6.支持通过平台可视化编程工具，动态生成物联中枢控制界面，对跨协议异构终端全生命周期进行统一管控。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辅助材料</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#1.容量：42U尺寸：600mm*600mm配置：前钢化玻璃门，优质冷轧钢板制作方孔条。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音箱线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#1.音响线音频线喇叭线带神经线主音箱线≥300芯100米。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卷</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#1.HDMI线材质:纯铜，长度：≥10米。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#1.PVC穿线管、管线接头等辅材。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C、智能密集架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●智能密集架</w:t>
            </w:r>
            <w:r/>
          </w:p>
        </w:tc>
        <w:tc>
          <w:tcPr>
            <w:shd w:val="clear" w:color="auto" w:fill="auto"/>
            <w:tcW w:w="6240"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#1.整体结构：由底盘、架体、传动机构、防护装置四大部分组成。密集架列与列之间密封装置采用抗老化密封条厚度≥20mm，每列接触面均有缓冲及密封装置，具有防震、防尘、防鼠、防光、防潮、防火功能；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架体：地轨:≥3.0mm；导轨≥20*25mm实心方钢；底梁:≥3.0mm；立柱:≥1.5mm，防惯性搁板≥1.2mm;挂板≥1.2mm;搁板:≥1.0mm;门框、门板、侧面板、顶板:≥1.2mm、防尘板：≥1.0mm、防倾倒装置:≥3.5mm;底部设有防倾倒装置，防止密集架架体出现倒塌，保障运行安全，防止架体倾倒。轨道：由轨道板与轨芯组成，表面须做镀硬铬</w:t>
            </w:r>
            <w:r>
              <w:rPr>
                <w:rStyle w:val="1061"/>
                <w:rFonts w:hint="eastAsia" w:ascii="仿宋" w:hAnsi="仿宋" w:eastAsia="仿宋" w:cs="仿宋"/>
                <w:color w:val="auto"/>
                <w:sz w:val="24"/>
                <w:szCs w:val="24"/>
                <w:lang w:val="en-US" w:eastAsia="zh-CN" w:bidi="ar"/>
              </w:rPr>
              <w:t xml:space="preserve">防锈处理，整体采用一次性成型工艺，轨芯采用≥20mm*25mm实心方钢，安装轨道板中间预留凹槽；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▲3.门板质量要求：①</w:t>
            </w:r>
            <w:r>
              <w:rPr>
                <w:rStyle w:val="1061"/>
                <w:rFonts w:hint="eastAsia" w:ascii="仿宋" w:hAnsi="仿宋" w:eastAsia="仿宋" w:cs="仿宋"/>
                <w:strike w:val="0"/>
                <w:color w:val="auto"/>
                <w:sz w:val="24"/>
                <w:szCs w:val="24"/>
                <w:lang w:val="en-US" w:eastAsia="zh-CN" w:bidi="ar"/>
              </w:rPr>
              <w:t xml:space="preserve">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以上①-④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#4.底盘采用钢板冲压成型后进行喷涂，厚度为≥3.0mm，底盘带加强筋结构。底盘可灵活拼接拆装，相邻两节子母结构，并在前后位置底部设有防倾倒装置，防止架体倾倒；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#5.立柱：立柱选用冷轧板全自动滚压成形，折弯加强处理后进行喷涂，立柱正面压槽，厚度≥1.5mm。采用一体成形三面压筋，使层板层数和间距可按需要调整；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▲6.立柱质量要求：</w:t>
            </w:r>
            <w:r>
              <w:rPr>
                <w:rStyle w:val="1061"/>
                <w:rFonts w:hint="eastAsia" w:ascii="仿宋" w:hAnsi="仿宋" w:eastAsia="仿宋" w:cs="仿宋"/>
                <w:strike w:val="0"/>
                <w:color w:val="auto"/>
                <w:sz w:val="24"/>
                <w:szCs w:val="24"/>
                <w:lang w:val="en-US" w:eastAsia="zh-CN" w:bidi="ar"/>
              </w:rPr>
              <w:t xml:space="preserve">①冲击强度：冲击高度≥50㎝，试验后涂层应无剥落、裂纹、皱纹；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酸碱性试验（试验时间≥2h</w:t>
            </w:r>
            <w:r>
              <w:rPr>
                <w:rStyle w:val="1061"/>
                <w:rFonts w:hint="eastAsia" w:ascii="仿宋" w:hAnsi="仿宋" w:eastAsia="仿宋" w:cs="仿宋"/>
                <w:color w:val="auto"/>
                <w:sz w:val="24"/>
                <w:szCs w:val="24"/>
                <w:lang w:val="en-US" w:eastAsia="zh-CN" w:bidi="ar"/>
              </w:rPr>
              <w:t xml:space="preserve">）：耐酸性（试验温度23℃，5%盐酸溶液，试验后应无失光、无变色、无起泡、脱落现象；耐碱性（试验温度23℃，5%氢氧化钠溶液，试验后应无失光、无变色、无起泡、脱落现象）；⑥耐炭黑试验（试验时间≥1h）：试剂浓度5%炭黑悬浊液，试验后应无色差；⑦耐水浸泡试验（试验时间≥100h）：试验温度38℃，试验后应无起泡、开裂、脱落现象，无失光、无变色；⑧耐湿热试验（非冷凝湿热法试验时间≥100h）：试验后应无失光、变色、起泡、开裂、锈蚀现象；（以上①-⑧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#7.搁板：采用冷轧钢板，静电喷涂，厚度≥1.2㎜，采用一次成型，厚度为≥25mm，正面压筋，刚性足，承重能力强，每层承重≥80</w:t>
            </w:r>
            <w:r>
              <w:rPr>
                <w:rStyle w:val="1061"/>
                <w:rFonts w:hint="eastAsia" w:cs="仿宋"/>
                <w:color w:val="auto"/>
                <w:sz w:val="24"/>
                <w:szCs w:val="24"/>
                <w:lang w:val="en-US" w:eastAsia="zh-CN" w:bidi="ar"/>
              </w:rPr>
              <w:t xml:space="preserve">kg</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▲8.搁板质量要求：</w:t>
            </w:r>
            <w:r>
              <w:rPr>
                <w:rStyle w:val="1061"/>
                <w:rFonts w:hint="eastAsia" w:ascii="仿宋" w:hAnsi="仿宋" w:eastAsia="仿宋" w:cs="仿宋"/>
                <w:strike w:val="0"/>
                <w:color w:val="auto"/>
                <w:sz w:val="24"/>
                <w:szCs w:val="24"/>
                <w:lang w:val="en-US" w:eastAsia="zh-CN" w:bidi="ar"/>
              </w:rPr>
              <w:t xml:space="preserve">①冲击高度≥50㎝，试验后涂层应无剥落、裂纹、皱纹；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炭黑试验（试验时间≥1h）：试剂浓度5%炭黑悬浊液，试验后应无色差；（以上①-⑤项需提供带有CMA标识的第三方检验机构出具的检测报告原件扫描件</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尺寸偏差高:极限偏差为±4mm、宽:极限偏差为±4mm、深:极限偏差为±4mm；尺寸偏差-导轨偏差：单根导轨:直线度应不大于1.0mm/m、单根导轨:水平偏差不大于1mm/m、宽度之间的平行度偏差不大于1mm/m、相邻两根导轨:水平高度偏差应不大于1mm；</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搁板静载荷：搁板经静载荷试验后，不得有裂缝，最大挠度应不大于4.0mm，残余变形量应不大于0.30mm；全静载荷：经24h连续试验卸载后，书架的挂板、搁板、立柱及其结合部位应无塑性变形和其他异常现象；载重运行：在全静载荷的情况下运行试验，架体应运动自如，不得有阻滞现象，手柄摇力应不大于11.8N；</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表面全部采用静电塑粉喷塑，高温塑化处理，喷塑前进行陶化处理。各零部件表面喷塑处理后喷塑表面均匀光滑平整，色泽一致，无尖角、露底、锈迹、剥落、起皱、变色。无明显的流迹、疙瘩、气孔，裂痕及划伤等缺陷，流动性140±20%（g）、耐沸水性≥2h无异常、沸水附着力≤1级、胶化时间（180℃）：120±20%（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#12.固定列应集成扬声器、阵列降噪麦克风、高清摄像头、语音识别模块、NFC无感刷卡模块、IC刷卡模块、ID刷</w:t>
            </w:r>
            <w:r>
              <w:rPr>
                <w:rStyle w:val="1061"/>
                <w:rFonts w:hint="eastAsia" w:ascii="仿宋" w:hAnsi="仿宋" w:eastAsia="仿宋" w:cs="仿宋"/>
                <w:color w:val="auto"/>
                <w:sz w:val="24"/>
                <w:szCs w:val="24"/>
                <w:lang w:val="en-US" w:eastAsia="zh-CN" w:bidi="ar"/>
              </w:rPr>
              <w:t xml:space="preserve">卡模块、补光扫码模块、光线识别模块于一体，需能在人机交互面上进行开架、闭架、通风、锁定、查询、设置等操作，并在触摸屏上显示时间、区号、列号、公告内容、温湿度数值、PM2.5数值、甲醛数值、TVOC数值、二氧化碳数值、当前电流和电压数值、左右侧存放档案类型内容、丢失档案、档案存放总数、外借档案数量、在库数量、密集架剩余盒容量等信息。触摸屏上应设置一键锁屏、一键休眠、一键语音唤醒和控制等功能按钮，且语音唤醒和语音控制功能可以将语音指令实时转换为文字在屏幕进行显示，功能待机期间应具备协调且显著的呼吸动画显示效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#13.固定列主显示区域尺寸不小于32英寸，副显示区域尺寸不小于10英寸，显示效果清晰。为保证产品美观度及安装安全系数，屏幕应固定牢靠，不得采用胶粘等危险方式；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移动列应选用不小于8英寸嵌入式设计的彩色液晶触摸屏控制，可在人机交互面上进行开架、闭架、锁定、查询、设置等操作，并在触摸屏上显示区号、列号、温湿度、档案在库数量、借出数量、公告等信息;移动列移动时应能显示通道打开宽度，实时显示超载报警、通道报警、超时报警、压力报警等信息，显示系统信息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可在固定列上输入用户名和密码、绘制图案密码、双目正反黑白彩色镜像活体人脸验证识别、高精度指纹识别、以及NFC、IC、ID等认证卡的识别方式进行身份信息验证；其中人脸验证识别支持遮挡识别认证，支持在戴口罩情况下正确识别人脸，并且实时在屏幕上显示并方框显示跟踪抓拍识别到的人脸，验证成功后有语音和文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#17.应具备点击任何密集架移动列架体，可查看架体结构，选择左面或右面，显示该面各节、各层存放的资料数，并有档案在库总数以及档案借出总数统计；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#18.灯光标牌显示：采用圆形灯光标牌设计，灯光标牌支持列号及密集架状态和报警功能</w:t>
            </w:r>
            <w:r>
              <w:rPr>
                <w:rStyle w:val="1061"/>
                <w:rFonts w:hint="eastAsia" w:ascii="仿宋" w:hAnsi="仿宋" w:eastAsia="仿宋" w:cs="仿宋"/>
                <w:color w:val="auto"/>
                <w:sz w:val="24"/>
                <w:szCs w:val="24"/>
                <w:lang w:val="en-US" w:eastAsia="zh-CN" w:bidi="ar"/>
              </w:rPr>
              <w:t xml:space="preserve">显示，具备全彩圆环状氛围灯设计，支持不少于12种以上色彩风格显示，用户可设置单色、双色、三色等显示效果，支持区列号在固定列的实时配置功能，支持架体运动状态（左移、右移、通风、锁定）显示，支持环境温湿度超标状态、PM2.5、甲醛、二氧化碳、PM10、TVOC超标状态、架体倾倒、架内有人、架体锁定、架体停止、通讯异常状态，以及灯光和架体通风等状态展示。架体在移动过程中，灯光标牌圆环氛围灯具备彩色动态炫彩动画显示，同时状态指示灯进行状态指示。灯光标牌的列显数字指示灯及圆环氛围灯显示亮度支持不少于4种以上调节模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紧急语音呼停:在密集架移动过程中，通过呼喊停止指令，应能紧急制动所有运行过程中的架体，停止指令及时且准确，抗干扰性能好，响应速度需控制在500毫秒范围内，呼停语音指令应支持中英文双语，支持指令内容进行替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#20</w:t>
            </w:r>
            <w:r>
              <w:rPr>
                <w:rStyle w:val="1061"/>
                <w:rFonts w:hint="eastAsia" w:ascii="仿宋" w:hAnsi="仿宋" w:eastAsia="仿宋" w:cs="仿宋"/>
                <w:color w:val="auto"/>
                <w:sz w:val="24"/>
                <w:szCs w:val="24"/>
                <w:lang w:val="en-US" w:eastAsia="zh-CN" w:bidi="ar"/>
              </w:rPr>
              <w:t xml:space="preserve">.密集架固定列应支持3D库房功能，针对库房分区的具体排布形态动态进行3D模型展示，3D模型支持架体运行状态的联动显示，模型支持放大、缩小、360°自由旋转、以及在放大缩小过程中的360度自由旋转等操作，应支持3D模型的实时交互控制功能，通过伸缩式隐藏轮盘，执行对应模型和架体的打开、关闭、查看、合架、通风、复位等操作。3D模型应支持架体存储的可视化内容展示，可实时观看架体存放情况和存储容量，并用至少三种以上颜色进行密集架容量区分。3D模型未操作期间进行自动旋转呈现，要求3D模型与实际密集架外观配色和风格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☆☆21.密集架操作手势识别功能：系统具有手势识别功能，站在架体前面挥动手势即可完成架体打开、关闭操作，可识别左移、右移等手势；（需根据要求提供视频演示）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☆☆22.人性化的图形图标显示（警示）功能：当区域内产生告警信息（架内有人，锁定），固定列全屏缓慢渐变颜色，以呼吸灯的方式提醒告警（需根据要求提供视频演示）。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樟木板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#1.选用香樟木原木，樟木板尺寸为不小于：长80CM*宽20CM*厚2CM，尺寸与密集架搁板配套，无贯通裂缝、虫蛀、腐朽、树脂囊、疖子、孔洞、夹皮和树脂道、树胶道缺陷。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D、档案馆库房“十防”设施</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六、档案库库房环境监测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智慧档案库房环境监控平台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实时监测档案库房内温度、湿度、PM2.5、PM10、甲醛、TOVC、CO2、紫外线、漏水、烟雾、人体红外等数据监测，并通过数据分析自动控制空调、加湿除湿净化一体机、窗帘、网络继电器等设备，实时对环境数据存储，可进行查询和取证，并能通过折线图等可视化大屏显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智能区域控制器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#1.CPU：≥4核，内存：≥8G DDR4，固态硬盘：≥128G，支持国产化操作系统，LED背光源，响应时间：≤5ms，最佳分辨率：≥1920*1080；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#2.智慧档案环境监控平台运行载体，支持与采集控制主机联动、智慧档案馆库一体化平台数据自动同步；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频率响应：-0.5/0.1（20Hz-20KHz）dB。</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采集控制主机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#1.采用一体化集成设计，具备智能设备管理功能，内部集成短信及电话报警模块；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#2.温度:45℃，气压:55kPa，持续时间:不低于500h。温度上升速率应≤1K/min，气压下降速率应≤15kPa/min，且应在温度稳定5min后开始降压。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#3.响应时间:≤3ms，工作温度:-10℃～60℃，工作湿度：20%～80%。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数据采控箱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#1.箱体尺寸：500*600*150mm（允许±偏差5㎜）；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#2.板材厚度：≥1.2mm；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#3.带锁钥、门板UV印刷。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开关电源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#1.输入电压：AC(交流)100-240V~50/60Hz，输出电压：DC(直流)12V，输出电流：DC(直流)12.5A。</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#1.工作方式：LED闪亮+常亮；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#2.材质：灯罩PC材质底座ABS材质；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#3.底座：可180°折叠；</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#4.工作电压：DC12V、24V。</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温湿度、空气质量监测与控制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空气质量云测仪</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#2.最大功耗：0.5W（24VDC供电）；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#3.检测参数：PM2.5、PM10、TVOC、CO2、甲醛等；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智能温湿度感知节点</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#1.直流电源:10-30VDC，最大功耗:0.4W；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#2.温度量程：-20℃~+125℃，湿度量程：0%RH~99%RH；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#3.变送器电路工作温湿度:-20℃~+60℃，0%RH~95%RH（非结露）；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#4.探头工作温度：-40~+80℃，探头工作湿度:0～100%RH；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#5.温度和湿度存在校验，可自校准；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#6.可通过按键、配置工具、485命令的任意一种修改设备通信参数；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#7.10～30V直流宽电压范围供电，可扩展分体式探头。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#8.阻燃要求：符合GB/T5169.11-2017的阻燃要求。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除湿加湿净化一体机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#1.除湿量（L/24h）：70-90，加湿量（kg/h）：6-8，适用于70-120㎡空间，PM2.5净化效率≥99.90%，风量(m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/h)：0-1600；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#3.触屏控制器：≥7寸屏；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#4.空气质量显示：温度、湿度、PM2.5，通讯接口：RS485，内置水箱容积（L）：≥35；</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#5.智能操作控制器：PLC智能可编程控制系统；</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智能移动水车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#1.水箱具备自动补水与排水功能，水容量≥90L；</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#2.水满报警提示，声光传输；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#3.具备高扬程排水接口，扬程保持≥12米。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智能空调控制模块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#1.直流供电：DC10～30V；功耗：≤0.3W；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#2.具备通过智慧档案馆库一体化管控平台系统可以学习99.9%的空调遥控器，可学习23组按键功能，带有485接口，可通过MODBUS-RTU协议代替遥控器对空调进行控制；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#3.设备配置有掉电保护功能，掉电保存设置的参数。</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健康防护一体机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#1.采用不小于6寸彩色电容触摸屏控制；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#2.触摸屏可实时显示空气质量数据(包括但不限于温度、湿度、PM2.5、PM10、TVOC、甲醛等)和设备运行状态参数设置等；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#3.工作模式包括自动模式、手动模式、节能模式、远程控制等；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采用低阻高效过滤器、银离子抑菌过滤装置、多层HEPA滤芯、椰壳活性炭滤芯、双波段纳米光氢离子净化装置、湿式除尘过滤装置、高压静电除尘装置、臭氧分解触媒等多种净化装置，能有效除尘、灭菌、去除TVOC、甲醛、臭氧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#5.具有滤芯清洁、更换提醒、故障自检、历史数据统计等功能；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#6.采用标准MODBUS通信协议，具备RS485远程监控端口，可和智慧档案馆库一体化管理平台无缝对接，实现多台设备的集中监控；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#7.新风量:≥1200m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/h；颗粒物CADR值:≥1200m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/h；甲醛CADR值:≥600m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/h；颗粒物CCM:P4；甲醛CCM:F4；PM2.5净化效率:≥99%；最高档噪声值：≤67dB；病菌单次拦截面：≥16m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库房漏水、火情、防盗监测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智能漏水报警器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#1.设备需准确判断出当前工作状态：报警状态、正常状态、故障状态，并最终将三种状态体现在环境监控系统软件中；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#2.设备需采用交变电流采集积水的电感参数；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#3.设备可外接漏水电极最远可达2600米，亦可外接长达2600米漏水绳，绳体任何一个部位检测到有水均可产生漏水报警信息；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#4.直流供电：DC10-30V；最大功耗：0.4W。</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高灵敏漏水探测绳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#1.线缆直径：≤6mm；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#2.最大暴露温度：85℃；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#3.报警泄漏量：线缆接触液体最小2cm。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烟雾探测器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#1.设备采用吸顶式安装方式，防拆盒盖；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#2.设备采用光电感烟器件微处理器，自动温度补偿；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#3.设备具备全方位360°探测，采用贴片技术，抗EMI、RFI干扰；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#4.设备附带手动测试报警按钮；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#5.工作环境：-10℃~50℃；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#6.信号输出：RS485，通讯协议：modbus-rtu，N81；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#7.设备采用485组网通信，通过智慧档案馆库一体化管理平台系统体现出设备报警状态、正常状态、故障状态，并将三种状态体现在系统软件中。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红外微波人员探测器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#1.供电电源：10～30VDC；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#2.功能特点：采用8-bit低功耗CMOS处理器，具有自动温度补偿功能；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#3.抗RFI干扰：20~1000MHZ。</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库房鼠害监测与控制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智能电驿控制器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#1.供电电压：DC10~30V宽直流供电，带电源反接保护；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#2.工作环境温湿度：-10℃～50℃；≤85%RH（非结露）；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#3.电流消耗：&lt;35mA+继电器功耗；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#4.继电器输出：常开触点，≥8个输出点可通过指令整体同步控制或独立单点控制；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#5.开关量工作功率：10A-250VAC/30VDC；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#6.设备需采用485接口、标准的Modbus-RTU协议，实现通过数据指令读取8路输入通道状态、控制8路输出通道状态的功能。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超声波驱鼠器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#1.设备采用变频超声波、定频脉冲波和变频驱鼠灯；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#2.设备搭配两个超声喇叭和一个脉冲喇叭；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#3.设备压力波达到25KHZ的强力脉冲；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#4.设备具备夜间自启功能；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#5.工作电压：DC9V；输入电压：100-240V，50/60Hz；产品功耗：少于5W；有效范围：30-150㎡；超声波频率：22-35/25kHz；分贝值：100-125dB，静音工作。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库房综合布线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#1.库房十防设施信号传输所需的墙面开槽及墙面恢复。</w:t>
            </w:r>
            <w:r/>
          </w:p>
        </w:tc>
        <w:tc>
          <w:tcPr>
            <w:shd w:val="clear" w:color="auto" w:fill="auto"/>
            <w:tcW w:w="92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5151</w:t>
            </w:r>
            <w:r/>
          </w:p>
        </w:tc>
        <w:tc>
          <w:tcPr>
            <w:shd w:val="clear" w:color="auto" w:fill="auto"/>
            <w:tcW w:w="82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E、智慧馆库综合管控平台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智慧档案馆库一体化管理平台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智慧档案馆库一体化管理平台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#1、智慧档案馆库一体化平台应针对环境监控子系统、档案管理子系统、RFID档案管理子系统、密集架管理子系统、安防管理子系统、库房管理子系统、能源监控子系统、消防联控子系统、机器人管理</w:t>
            </w:r>
            <w:r>
              <w:rPr>
                <w:rStyle w:val="1061"/>
                <w:rFonts w:hint="eastAsia" w:ascii="仿宋" w:hAnsi="仿宋" w:eastAsia="仿宋" w:cs="仿宋"/>
                <w:color w:val="auto"/>
                <w:sz w:val="24"/>
                <w:szCs w:val="24"/>
                <w:lang w:val="en-US" w:eastAsia="zh-CN" w:bidi="ar"/>
              </w:rPr>
              <w:t xml:space="preserve">子系统、3D数字孪生子系统等进行统一管理。各子系统的数据采集、数据存储、数据分析处理、报警、查询、报表及部分子系统的设置等功能应全部通过环境监控子系统实现。图形化显示，应支持库房电子地图功能，对库房所有运行设备显示运行状态，各系统应采用模块化，任意选择，任意组合。智慧档案馆库一体化平台需对各子系统进行统一管理，各子系统实时的数据采集、数据存储、数据分析处理、报警、查询、报表及系统设置等功能应全部通过环境监控平台实现，并能够进行大数据图形化展示；平台应支持库房3D电子地图功能，对库房所有运行设备显示运行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平台应支持国产化服务器、操作系统、数据库、中间件的运行适配，能够达到通用兼容性要求及性能、可靠性要求，满足用户的关键性应用需求，为避免版权纠纷，所投产品需提供智慧档案库房管理类相关软件著作权登记证书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#3、支持B/S架构，具有WEB浏览功能，无须安装软件和任何配置，在自己的服务器上部署即可完成，通过浏览器方式监视监控数据，浏览器界面与客户端保持一致；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#4、应采用“本地化部署、本地化远程访问“的原则，进行平台的软件部署，平台支持局域网络远程访问，如业务专网等。管理平台的登录端主要为服务器（工控机）、PC、平板电脑；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#5、平台应支持接口定制功能，可根据实际需求定制数据接口，应支持上一级平台数据转发和同步，应支持下一级RFID、智能密集架管理等系统的数据交互；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系统集成：智慧档案馆库一体化平台需与各子系统或功能无缝集成（包括但不限于环境监控子系统、档案管理子系统、RFID档案管理子系统、密集架管理子系统、安防管理子系统、库房管理子系统、能源监控子系统、消防联控子系统、机器人管理子系统等），应可通过智慧档案馆库一体化平台对某个子系统的功能进行管理操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#7、应支持AI大模型，搭配档案AI管理智能中枢，能实现档案管理高度智能化；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系统模块：应能实时显示所有库房统计分析、十防运行状态、空气质量监测、安全监测统计、3D地图、报警信息、实时监控、库房评分、温湿度曲线、环境监控、档案管理、RFID档案管理、密集架管理、安防管理、库房管理、能源监控、消防联控、机器人管理、报警中心等内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9、#（1）应显示全部库房设备的运行设备状态（正常/离线），点击设备可图形化查看该设备采集到的参数以及实时状态；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#（2）应具备库房环境实时数据、实时雷达监控及数据分析功能。且实时展示库房环境数据及库房空气质量、火灾预警信息；具备对实时温湿度曲线、环境变化、实时报警列表、报警信息统计等的数据分析；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应具备空气质量、温湿度监控功能。通过温湿度传感器和空气质量云测仪实时监测库房温湿度、CO2、PM2.5、PM10、TVOC等空气质量参数，且当其中某项参数超出设定值时，发出报警提示管理人员，并可根据需要设置联动相关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#（4）报警信息以弹窗形式进行推送，报警信息包含显示报警类别、报警内容、报警时间、报警库房、报警位置、报警视频等，实时显示人员授权信息；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#（5）应具备恒湿净化、空气健康洁净、除酸净化、漏水等监控设备功能。应实时监控设备状态，根据需要对设备进行操作。当检测到库房发生漏水、温度过高、烟雾等情形时，能联动声光报警器进行声光报警；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#（6）应支持记录库房内环境的变化数据，并能通过列表、曲线方式展示，直观地对库房环境进行监控与管理，为库房管理工作提供数据支持；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#（7）设备数据及状态应能够在线监控、设备离线系统状态可提示；系统应具有手动、自动控制逻辑。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#10、平台支持密码加密算法、数据库加密算法，有效保证数据安全传输及储存；</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档案管理（1）应具备库房档案数据实时总览及数据分析功能；（2）应具备档案指尖查功能。依托中文信息检索技术，支持多维度查询档案信息；（3）应具有档案管理功能。应支持新建档案信息，并能至少通过三种方式建立档号：RFID设备、条码设备及手动输入。同时可进行组盒、条码打印、批量导入、导入模板、删除、导出等操作；（4）应具有档案查找功能。记录档案所在架体的详细位置，能快速查找所需档案</w:t>
            </w:r>
            <w:r>
              <w:rPr>
                <w:rStyle w:val="1061"/>
                <w:rFonts w:hint="eastAsia" w:ascii="仿宋" w:hAnsi="仿宋" w:eastAsia="仿宋" w:cs="仿宋"/>
                <w:color w:val="auto"/>
                <w:sz w:val="24"/>
                <w:szCs w:val="24"/>
                <w:lang w:val="en-US" w:eastAsia="zh-CN" w:bidi="ar"/>
              </w:rPr>
              <w:t xml:space="preserve">，并根据搜索结果，对档案进行定位、开架等；（5）应具备标准的档案模型。能自定义档案管理模板，并对档案相关信息进行自定义维护；（6）应具有档案借阅功能。应支持借阅审批流程、待借管理、已借档案管理、档案实时状态显示、出库记录、归还记录等。并可通过输入关键词，勾选查找结果的条目进行借阅，条目信息包括档号，名称，条码，存放位置，责任人，状态，保存介质，保密等级，类型，封装方式，创建时间等。应具有权限的管理员登录系统，选中待批的档案给予通过或驳回。通过后，管理员应能通过创建时间查询，勾选出库目的，进行查询，了解档案信</w:t>
            </w:r>
            <w:r>
              <w:rPr>
                <w:rStyle w:val="1061"/>
                <w:rFonts w:hint="eastAsia" w:ascii="仿宋" w:hAnsi="仿宋" w:eastAsia="仿宋" w:cs="仿宋"/>
                <w:color w:val="auto"/>
                <w:sz w:val="24"/>
                <w:szCs w:val="24"/>
                <w:lang w:val="en-US" w:eastAsia="zh-CN" w:bidi="ar"/>
              </w:rPr>
              <w:t xml:space="preserve">息（出库单号、档案名称、档案号、出库目的、出库原因等），然后通过取档流程将档案借出。输入查找内容，系统应显示已借档案条目列表，档案条目信息包括操作、归还、续借、挂失，档案信息包括档号、名称、借阅人、借阅原因、借阅时间及应还时间；（7）应支持档案存（还）、取（借）联动功能；（8）应支持对档案盒信息进行管理，输入档案盒名称，可进行查询、新增、借阅、删除等操作，展示档案盒标题，档案盒号，存放位置，状态，创建时间等信息。保证档案盒号与实体档案盒一一对应。档案盒应支持通过绑定RFID标签的方式来与实体档案盒建立关联。</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#12、RF</w:t>
            </w:r>
            <w:r>
              <w:rPr>
                <w:rStyle w:val="1061"/>
                <w:rFonts w:hint="eastAsia" w:ascii="仿宋" w:hAnsi="仿宋" w:eastAsia="仿宋" w:cs="仿宋"/>
                <w:color w:val="auto"/>
                <w:sz w:val="24"/>
                <w:szCs w:val="24"/>
                <w:lang w:val="en-US" w:eastAsia="zh-CN" w:bidi="ar"/>
              </w:rPr>
              <w:t xml:space="preserve">ID档案管理应通过搭配具有RFID射频识别技术的标签、盘点机、盘点车等设备，实现“快速盘点、档案溯源”的管理功能。根据架体位置，选择架体详细位置，确定已选位置，写入标签，以标记档案所在层位置。（1）应具备档案快速盘点功能。通过智能盘点机、盘点车扫描密集架中档案盒标签，快速盘点，盘点结果与一体化平台同步。应具有盘点、对档案是否在库、错位、丢失、新增进行盘点。掌握档案数据的流动情况(入库、在库、出库、错位、丢失的流动状况)。盘点工作应支持RFID设备辅助；（2）应具备批量档案的上架、下架功能。根据档案的上架、下</w:t>
            </w:r>
            <w:r>
              <w:rPr>
                <w:rStyle w:val="1061"/>
                <w:rFonts w:hint="eastAsia" w:ascii="仿宋" w:hAnsi="仿宋" w:eastAsia="仿宋" w:cs="仿宋"/>
                <w:color w:val="auto"/>
                <w:sz w:val="24"/>
                <w:szCs w:val="24"/>
                <w:lang w:val="en-US" w:eastAsia="zh-CN" w:bidi="ar"/>
              </w:rPr>
              <w:t xml:space="preserve">架系统发布的任务实现档案的指引功能，支持多本档案同时上架或下架；（3）应具备上架档案批量定位功能。首次上架时，通过盘点把档案标签定位到层位后发送到电脑端，通过数据比对，应能快速形成在库档案的层定位；（4）应具备档案数量统计功能。应支持以图形方式直观的统计和显示实体档案在库、异常、借出和借阅等数量信息；（5）应支持RFID安全通道门监控功能。应支持显示RFID安全通道门的通行记录和异常通行信息，实时显示通道进出人员累计数量，应能通过卡片按钮快速切换通道门；（6）可以记录所有进出门人员的详细信息并生成统计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密集架管理（1）应具备远程控制功能。需可以显示监测架体的实时状态、实时环境信息（温度、湿度）、实时档案数据（过道人数、密集架列数、可存档案盒、已存档案盒、剩余容量）、电子标牌、公告，应可控制密集架实现解锁(锁定)、唤醒</w:t>
            </w:r>
            <w:r>
              <w:rPr>
                <w:rStyle w:val="1061"/>
                <w:rFonts w:hint="eastAsia" w:ascii="仿宋" w:hAnsi="仿宋" w:eastAsia="仿宋" w:cs="仿宋"/>
                <w:color w:val="auto"/>
                <w:sz w:val="24"/>
                <w:szCs w:val="24"/>
                <w:lang w:val="en-US" w:eastAsia="zh-CN" w:bidi="ar"/>
              </w:rPr>
              <w:t xml:space="preserve">、停止、合架、通风、未锁屏等功能；点击具体一列密集架展示该列档案类型和档案盒容量；（2）应具备架体同步及分区监控，通过系统或手动控制运行状况都能动态显示在智慧档案管理软件上；（3）应支持显示预警栏，和智能密集架系统联动，同步显示相关预警（温度超标、湿度超标、PM2.5超标、二氧化碳超标、PM10超标、TOVC超标、架体有人、架体锁定、架体停止、通信中断）；（4）应具备密集架联动功能。支持灯光联动、联动解锁、精准查找、公告下发、一键自建、电子标牌等功能；（5）应支持密集架存放档案容量、档案类型等统计分析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#14、安防管理，为保证档</w:t>
            </w:r>
            <w:r>
              <w:rPr>
                <w:rStyle w:val="1061"/>
                <w:rFonts w:hint="eastAsia" w:ascii="仿宋" w:hAnsi="仿宋" w:eastAsia="仿宋" w:cs="仿宋"/>
                <w:color w:val="auto"/>
                <w:sz w:val="24"/>
                <w:szCs w:val="24"/>
                <w:lang w:val="en-US" w:eastAsia="zh-CN" w:bidi="ar"/>
              </w:rPr>
              <w:t xml:space="preserve">案库房管理和档案利用的安全，对档案库房区域、出入通道等公共场所和重要档案功能用房等重要位置通过安装摄像机进行实时监控，需运用AI安防大模型，构建安全防护机制，能够掌握进入档案库房的人员和利用者阅览档案的情况。（1）应具备实时展示当前安防情况，需展示监控数据分析、红外入侵震动报警、门禁进出人数、实时视频监控、监控报警信息、告警墙等信息；（2）应具备视频监控管理功能。可以按分区进行相应的自定义编辑和控制；能具备视频实时预览，支持一屏、四屏、九屏、十六屏的分屏显示；应具有精确到秒的回放和视频查看功能；应具有红外线</w:t>
            </w:r>
            <w:r>
              <w:rPr>
                <w:rStyle w:val="1061"/>
                <w:rFonts w:hint="eastAsia" w:ascii="仿宋" w:hAnsi="仿宋" w:eastAsia="仿宋" w:cs="仿宋"/>
                <w:color w:val="auto"/>
                <w:sz w:val="24"/>
                <w:szCs w:val="24"/>
                <w:lang w:val="en-US" w:eastAsia="zh-CN" w:bidi="ar"/>
              </w:rPr>
              <w:t xml:space="preserve">拍摄记录功能，各种模式拍摄的图像均能有效识别；应具备实时面部抓拍比对和报警功能；（3）应具备实时库房门禁监控管理功能。且能选择不同的门禁进行打开门锁、重启设备的操作，能查看历史操作日志和访客日志；（4）应具备震动、红外监控功能。能通过震动报警器、红外检测设备实时监测库房震动和人员侵入情况，能通过声光报警、平台预警、电话、邮箱、短信等方式进行远程报警；（5）应支持人脸比对，系统根据后台设置的常用人物，提取新上传照片的人脸特征值，与常用人物特征值进行对比，如果有对比一致的则自动标注照片中的人物信息；（6）应支持</w:t>
            </w:r>
            <w:r>
              <w:rPr>
                <w:rStyle w:val="1061"/>
                <w:rFonts w:hint="eastAsia" w:ascii="仿宋" w:hAnsi="仿宋" w:eastAsia="仿宋" w:cs="仿宋"/>
                <w:color w:val="auto"/>
                <w:sz w:val="24"/>
                <w:szCs w:val="24"/>
                <w:lang w:val="en-US" w:eastAsia="zh-CN" w:bidi="ar"/>
              </w:rPr>
              <w:t xml:space="preserve">负面人物自动标识，能利用人物库中记录的人物负面信息，结合人脸识别功能，对新录入系统的照片进行负面人物自动识别标注。标注后提供负面人物的标识提示功能；（7）应支持人脸智能检索照片:允许输入要检索的人物头像，能匹配检索已有的照片档案库，返回所有相似的照片。并且允许按照属性进行相关照片检索，按照检索相似度进行排序。针对多人同时参加过的活动业务场景，还提供同时检索多人的功能；（8）应支持人脸智能检索视频:上传人物头像，匹配检索已有的视频档案库，返回包含人物头像的视频，并且播放时可以自动定位到人物出现的第一帧的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库房管理（1）应根据库房实际情况进行库房设置，方便新增/删减库房和设备；（2）应对库房进行库房、区、列进行配置。利用大屏幕进行各系统设备状态实时显示，实时查看温湿度数据，空气质量检测数据，报警信息数据，实时监控画面，档案在库、出库、待入库、待出库数据，库房操作信息日志，库房报警信息日志。能生成2D/3D模拟库房图，库房图具备库房所有传感器设备、环境监控设备的实时数据查看。当库房中所联动的设备发生告警时，设备应呈现红色闪烁状态进行提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#16、3D数字孪生：数据可视化展示系统应利用数字孪生和3D可视化技术，对档案库房档案、密集架、设备等进行形象化呈现，实时的在虚拟库房展示现实库房的真实档案存放情况。</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#（1）支持场景的实时缩放、旋转操作。在默认设置下，60秒无操作后，3D库房可缓慢旋转。可设置天空盒子、雾效、材质精度等；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#（2）数字化密集架，密集架模型化，应能配置列号和样式，3D场景内其他物体虚化，应能对密集架进行闭架、通风、停止、锁定、解锁等操作，实现通过右键点击开架打开对应列；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以将空调、温湿度、红外、漏水、门禁、二氧化碳的设备数据汇聚到系统中。可以展示设备分布情况，并显示定位气泡；可以展示空调的参数、状态、告警信息；红外、门禁、二氧化碳的参数及告警信息。设备可关联文档，能够快速了解设备出厂信息，排查其故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#（4）应具备视频可视化，能适配各种监控视频协议，点击摄像头能实时视频监控；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#（5）可以在三维场景中直观展示库房温度分布，可以精确显示实时温度数据。可以快速定位局部发热点，云图温度差过渡自然，用三种及以上不同颜色代表温度，协助运维人员调整库房制冷方案；</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智能3D巡检。智能3D巡检以3D形式还原库房布局和设备实景，通过使用第一人称或者第三人对库房所有设备进行巡检。巡检时，3D物模拟真人行走，途经密集架固定列、监控、一体机、RFID门禁、各类传感器时，对上述设备的状态进行检测，发现问题时及时向平台反馈。可支持制定巡检计划、自定义巡检路线、巡检日志查询、巡检路线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具备实时数据及数据分析功能：实体档案管理系统具备实时数据（库房容量、档案总数、档案在库数、档案借出数、档案今日借出、档案今日归还）及数据分析功能（在架档案比、档案状态统计、档案借阅数、各类型档案数量排行）。（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具有档案查找功能：记录档案所在架体的详细位置，可以快速查找所需档案，并根据搜索结果，对档案进行定位、开架等。在档案信息里面包含档号、档案名称、档案类型、所在位置、归属档案盒、档案状态、档案盒状态、操作等信息，并以表格列表的形式展示。（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分类显示全部库房设备的运行设备状态（正常/离线，以及正常与离线设备数量的统计），具备库房环境实时数据（温湿度、CO2、PM2.5、PM10、TVOC、甲醛）、实时雷达监控（温湿度、CO2、PM2.5、PM10、TVOC、甲醛、火灾等异常报警次数显示）及数据分析功能（实时温湿度曲线、实时环境变化曲线、实时报警列表、报警信息统计）。（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动态区域环境数字化展示平台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动态区域环境数字化展示平台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视化数据大屏展示系统，可将空调、漏水、温湿度、空气质量云测仪等全设备数据汇聚到可视化数据大屏上，提供统一数据查看面板和闪烁告警提醒方式。能同步显示设备实时参数、运行状态、告警信息，支持告警快速定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查询一体机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#1.屏幕尺寸≥21.5寸，≥10点触摸，可实现放大缩小图片等多点触摸功能;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#2.自助查询各种手续的工作流程及应提交的资料、收费标准等；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#3.具备身份证认证、指纹认证，扫描打印功能。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RFID系统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RFID管理子系统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含智能档案管理模块、智能监管模块、档案初始化模块、档案出入库管理模块、档案智能管理、档案盘点、数据通信接口、单点登陆模块、统计分析模块等；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#RFID智能档案管理系统软件平台可分为多个系统模块，各系统模块间通过搭配专业的RFID硬件设备运行，实现以下相关功能：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#1.标签转换系统：实现实物档案与RFID档案标签关联；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#2.馆员工作站系统：实现档案的借阅、归还、查询等功能；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#3.安全监测系统：实现档案的自动出入库、档案安全监测等功能；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#4.盘点系统：实现档案的上架、顺架、盘点、查询等功能；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#5.便携式盘点系统：实现档案的盘点与查找，也可用于固定资产管理；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#6.实现库房情况、档案情况的随时随地了解，实现档案管理空间、时间的延伸；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#7.RFID档案查询系统：实现档案查询;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☆☆8.档案数量统计功能:支持以图形方式直观的统计和显示实体档案在库、出库等数量信息；支持以折线图的形式统计外借与归还数量（需根据要求提供软件视频演示）。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#1.工作频率：920～925MHz，尺寸大小：标签长度≥112mm宽度≥10mm；天线长度≥110mm宽度≤3mm；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#2.存储容量：标签内用户数据区，标签为单面不干胶，可以打印立案号、归档号等信息；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层架标签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#1.工作频率：920～925MHz，环境温度：-10℃—70℃，尺寸≤105mmx18mmx3.5mm，采用透明亚克力板；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#2.存储容量：标签内用户数据区，读取距离：读取距离≥120cm，使用寿命：内存可擦写100,000次以上；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馆员工作站一体机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#2.通讯接口：≥USB2个、网口≥1个；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#3.显示屏：≥21.5寸电容触摸显示屏，分辨率≥1920×1080；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#4.主机采用国产芯片，≥16G内存，≥512G；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#5.设备由触摸显示屏，双目人脸识别摄像头，可调节角度的一维码二维码扫描模块，RFID感应区，刷卡区等。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手持盘点机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#1.工作频率：840MHZ-960MHZ；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#2.显示屏：≥5.5寸IPS高清屏，分辨率≥720*1440；内存容量：RAM≥4GB，ROM≥64GB；扩展内存：支持≥256GBMicroSd卡；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#3.触控屏：触控电容屏；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#4.扩展插槽：≥2个sim卡槽，≥2个PSAM卡槽，≥1个TF卡槽；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#5.通讯接口：Type-c数据接口；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#6.摄像头：前置≥500万、后置≥1300万像素摄像头，带闪光灯、自动对焦功能；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#7.电池容量：不低于7200mAh锂聚合物电池。</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RFID移动盘点车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#3.充电后连续工作时间：≥8小时；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#4.盘点设备RFID标签阅读器阅读范围半径≥125mm；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#5.盘点车屏幕需支持360°旋转，盘点车屏幕内嵌式集成双目人脸识别摄像头，内嵌集成LED灯带，科技感强，集成RFID感应区和RFID扫描枪。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RFID防盗门禁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#1.具备防盗报警功能，内置红外检测装置；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#2.可以非接触式的快速识别粘贴在档案上的RFID标签；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#3.可以对档案馆内的印刷品、视听出版物、CD及DVD等流通文献进行安全扫描操作；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#4.具备门禁软件监控系统，实时显示非法出入档案详细信息；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#5.具备离线报警功能，在通讯断开时能够检测档案是否办理出库手续，并正常报警；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#6.适配国产化操作系统、数据库、中间件等基础软件；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#7.提供外置USB接口。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#1.无线速率≥3000M，无线协议：Wi-Fi6；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#2.WAN口数量≥1个，LAN口数量≥3个。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无线AP</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#2.支持双射频2.4GHz(2x2)+5GHz（2x2）同时工作，其中2.4GHz频段最大速率575Mbps，5GHz频段最大速率2.4Gbps，整机速率可达2.975Gbps；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#3.最大发射功率：2.4GHz:23dBm（组合功率），5GHz:23dBm（组合功率）。</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RFID标签打印机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#1.打印方式：热敏/热转印；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#2.分辨率：≥300dpi，显示屏：≥4.3″IPS电容触控屏；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#3.纸张探测方式可移动反射式和可移动穿透式纸张感应器；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#4.集成高性能超高频RFID读写器/编码器，支持与UHFEPCGen2/ISO18000-6C兼容的标签；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#5.支持打印同时读写数据、仅打印或仅读写数据的工作模式；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#6.支持读取标签的TID、EPC、TID+EPC数据；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#7.支持USB和网络的双向通讯；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#8.适配国产化操作系统、数据库、中间件等基础软件。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档案除尘净化整理台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#1.微生物净化柜工作模式需具有三种以上，可根据使用需求自行调整模式：净化模式可分为标准净化、快速净化、强力净化；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#2.整理台洁净空气量不小于350m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/h风量，双驱运行、运行时整个桌面都是负压区，且风速一致，风速为:0.6-07m/s；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#3.设备需具备PM2.5、PM10净化功能，效率≥99.9%，空气质量采集与显示功能，能够显示温度、湿度、PM2.5等数值；</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#4.设备需具有智能感应模式：人在启动、人走自动关闭；</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#5.整理台需具有最少五重净化配置：F6中效过滤器+VOC气体过滤器+复合式气体高效过滤器＋纳米光氢离子净化+TIO2纳米催化装置；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#6.净化柜需具备灭菌性能：空气细菌数和霉菌数总和≤3cfu/m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，灭菌效率＞99.9%；</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#7.净化柜需具有三重净化配置：H12复合式气体高效过滤器＋纳米光氢离子净化+等离子主动净化装置+矩阵式防穿透灭菌装置；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#8.净化柜洁净空气量不小于300m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/h风量，需具有甲醛净化功能，效率：≥82%；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#9.设备需带有RS485通讯接口，单次净化处理量≥22册。</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档案消毒柜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#1.消毒方式：紫外线+臭氧智能消毒，内容量：≥400L，托盘层数：≥4层，臭氧量：600mg/h；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#2.消毒时间：20min紫外线/60min臭氧+20min臭氧分解/20min臭氧+20min紫外线；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#3.消毒书/档案量：≥200册图书、≥70盒3cm档案盒，紫外线灯：≥4根;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#4.材质：全钢结构；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#5.除菌类型：大肠杆菌、金黄色葡萄球菌、肝炎病菌、霉菌等。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视频监控接入授权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视频监控设备的集成接入功能，提供接口授权服务，可实现实时图像监控，图像缩放功能，画面分割和视频自动循环功能，具有数字硬盘录像本地存储及其回放功能和自维护功能，支持远程调用实时视频、历史视频查询。</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门禁设备的集成接入功能，提供接口授权服务，可实现多种门禁设备的接入和智能化管理，例如指纹识别式、面部识别式、IC卡/ID卡识别式、密码输入式设备等，具备权限认证和智能消息记录，多功能报警等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孪生系统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3D数字孪生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D数字孪生库房同步现实档案库房的基础数据和流转数据，实时的在虚拟库房展示现实库房的真实档案存放情况。通过大屏可视化，对档案库房设备数量、设备在线、设备分布等进行在线管理，提供实时数据的处理和显示，可将分析结果以最直观、易懂的方式进行可视化呈现，供工作人员随时随地对数据进行分析和挖掘。通过采集设备、传输设备和管理设备等，将库房内分散的多种监控系统、管理系统融合在构建3D全景图中。建立统一监控、统一预警、统一管理以及统一空间规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展示为现实场景的数字孪生库房，支持场景切换功能，可选择对应的3D场景，展示为现实场景的数字孪生库房，按照真实库房场景搭建，支持实时缩放、旋转操作。在默认设置下，60秒无操作后，3D库房可缓慢旋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档案查询可视化，可通过关键字搜索档案，并可对搜索结果定位到所在密集架列及层节位置，大幅减少查找资料时间。支持门口机消息查询，标红显示告警信息。档案容量可视化，实现以密集架列为单位的库房容量管理。以三维柱图、饼状图等形式，展示密集架列的容量信息，直观掌握密集架的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数字化密集架，密集架模型化，可配置列号和样式，3D场景内其他物体虚化，可对密集架进行闭架、通风、停止、锁定、解锁等操作，可通过开架打开对应列。提供密集架实时数据和在库借出数量统计和容量统计图表。进入密集架后，可看见移入档案盒展示档案盒类型和名称，可更换档案盒外观、绑定及编辑档案盒模型。可通过关键字搜索档案，并可对搜索结果定位到所在密集架列及层节位置。提供档案容量展示，通过环图和三维柱图的形式用不同颜色展示密集架列的容量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监控可视化，可将漏水、温湿度、恒温恒湿一体机、健康防护一体机等设备数据汇聚到孪生系统中。通过设备检视面板，一目了然掌握监控要点和设备分布情况。提供统一数据查看面板和闪烁告警提醒方式。能同步显示设备实时参数、运行状态、告警信息，支持告警快速定位。设备可关联文档，能够快速了解设备出厂信息，排查其故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#6.视频可视化，能适配各种监控视频协议（包括但不限于Onvif、RTSP、GB.28281等），兼容主流厂家设备。支持百路并发，能以小于1秒的低延时播放实时视频。支持录像回放、云台控制等操作。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#7.温度云图可视化，可直接在三维场景中绑定温度值。以三维立体形式直观展现库房温度分布，可精确显示实时温度数据。快速定位局部发热点，协助运维人员调整库房制冷方案。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巡检可视化。支持巡检由第一人称视角或第三人称视角浏览库房，可自定义巡检路径，定义巡检路径点，绑定巡检设备（可以根据实际绑定），制定定时巡检计划（单个或多个），当进行自动巡检时，3D大屏不可操作，会依次轮询所有设置路径的场景，如绑定巡检设备，会将巡检结果形成巡检日志。巡检日志可按照时间段以列表形式呈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#9.图表可视化，支持自定义配置3D大屏图表。预设图表包含档案库房、监控设备、档案类型统计等各种统计图表。支持第三方图表定制导入。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数字孪生3D系统具备全景三维显示功能:利用3D建模，对档案库房密集架、环控设备等进行形象化呈现，模型进行操作，旋转放大无卡顿，点开单个密集架组团模型时，提供档案容量展示，通过环图的形式用不同颜色展示密集架列的容量实时剩余、占用情况。巡检可视化，支持巡检由第一人称视角或第三人称视角浏览库房，可自定义巡检路径，制定定时巡检计划。（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F、安防中心</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#1.M8绝缘子+膨胀螺丝+支架。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等电位接地箱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#1.明装：≥300*200*100mm，配套安装辅材。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#1.防雷接地安装配套材料。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#1.≥500*600*200mm，包含≥2个空调回路（10kW/台），≥1个大屏回路，≥1个机柜回路（3kW/个），≥1个照明回路，≥1个墙面板回路，≥2个备用回路，含防雷器。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双头应急照明灯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#1.全塑阻燃应急≥90分钟。</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平板灯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#1.规格尺寸≥600*600mm，功率≥48W。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#1.单面安全出口指示灯。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#1.安全型二孔加三孔暗插座(墙面安装)；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#2.规格：250V,10A。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#1.ZR-YJV-4*16+1*10mm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综合布线系统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#1.200*100mm，桥架壁厚≥1.2mm，盖板壁厚≥1.0mm，含吊框、吊筋等五件套。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参数同B-25 网络机柜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#1.规格：8位10A，线长：≥1.8米，额定电压：250V~ 额定电流：10A 最大功率：2500W 。</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消防灭火器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#1.工作压力≥1.2MPa；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#2.容量≥8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#3.使用温度-20℃~+60℃；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#4.罐体材质：碳钢，含箱体。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显示控制系统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55寸拼接屏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#1.屏幕尺寸55寸；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#2.分辨率不低于1920×1080，双边拼缝≦0.88mm；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#3.直下式LED背光源；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#4.液晶拼接单元不造成对视网膜的蓝光危害；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#5.LCD显示单元边缘采用抗热材质；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拼接屏支架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#1.钢结构挂墙支架，满足拼接屏安装需求，保证平整性。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视频矩阵控制综合平台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#1.支持不低于12路HDMI信号输出；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#2.输出接口最大支持3840×2160@60及以下常规分辨率和自定义分辨率输出；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#3.整机最大支持3路8K@60fps/30路4K@30fps/120路1080p@30fps/432路D1视频解码能力；H264和H265解码能力相同；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#4.支持设置指定电脑允许的接管范围和窗口，除此之外的电脑内容不予以显示；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#5.解码资源借用功能：每个输出口同时实现≥40画面分割，每个子画面的主码流≥1920×1080，并且帧率稳定在≥30帧；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#6.支持任意开窗、漫游，每屏最大支持36路开窗，支持电视墙默认底色设置，支持高清底图显示。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#1.含输入输出高清线*13根、网络跳线*12根等。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#1.含大屏供电线路、插排等。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#1.含大屏回路、会议设备回路、控制设备回路、空气开关等。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3联操作台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#1.操作台外形尺寸为：宽≥2400mm*深≥900mm*高750mm；左右双开门，内部一层托盘用于放置物品；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#2.操作台下柜体整体为钢制结构，原材料采用冷轧钢板；操作台柜体框架钢制部分采用≥0.8mm+1.2mm厚钢板，门板托盘及其他≥0.8mm厚钢板；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#3.台面：台面选用≥25mm厚颗粒板免漆加工制作；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#4.含3把椅子。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#1.包含值班室装修：墙面腻子粉，乳胶漆。地面≥600*600mm瓷砖，瓷砖厚度≥9mm（抛光砖）铺贴，顶面≥600mm×600mm硅钙板吊顶，隔墙砌筑，硅钙板吊顶、1套监控显示设备迁移等。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大楼消防系统迁改</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镀锌管钢管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#1.DN100热浸镀锌钢管，（外径114.3mm，壁厚≥4.0mm），镀锌层均匀，无锈蚀、毛刺，两端需套丝或沟槽处理，消防水系统主管道，压力等级≥1.6MPa。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管道保温</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1.橡塑保温板，适配DN100管道，保温厚度≥50mm，保温材料需闭孔结构，表面加铝箔防潮层，接缝处用专用胶带密封。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开洞</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#1.墙体开洞，需配合现场实际结构，采用水钻或无尘切割，开孔后需清理孔洞并做防火封堵预处理。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#1.材质：Q235B碳钢，表面热浸镀锌处理，防腐防锈，适配DN100管道，承重≥200kg/每米，支架形式为“门型”或“U型”，含螺栓、螺母等配件。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闸阀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#1.阀体铸铁，阀板不锈钢，密封件丁腈橡胶，具备双向密封功能。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卡箍弯头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#1.沟槽式90°弯头，刚性连接，DN100，适配外径114.3mm钢管。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#1.沟槽式刚性卡箍，DN114（适配外径114.3mm钢管）。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消防控制室搬迁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#1.包含原老楼消防报警设备迁移、报警信号线、控制线敷设、系统调试等。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G、网络综合布线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规格参数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综合布线系统（人防）</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#1.采用PVC材质86底盒；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#2.两侧预留可破式线管槽；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#3.安装孔中心距60毫米。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#1.86型双口面板，带弹簧门式防尘盖（平口）；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#1.主体塑料材质：聚碳酸酯（PC）；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#2.IDC端子材质：磷青铜镀镍；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#3.金针材质：磷青铜镀金3μm 。</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5590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线管</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1430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A-98</w:t>
            </w:r>
            <w:r/>
            <w:r>
              <w:rPr>
                <w:rFonts w:hint="eastAsia" w:ascii="仿宋" w:hAnsi="仿宋" w:eastAsia="仿宋" w:cs="仿宋"/>
                <w:i w:val="0"/>
                <w:iCs w:val="0"/>
                <w:color w:val="auto"/>
                <w:sz w:val="24"/>
                <w:szCs w:val="24"/>
                <w:u w:val="none"/>
                <w:lang w:val="en-US" w:eastAsia="zh-CN" w:bidi="ar"/>
              </w:rPr>
              <w:t xml:space="preserve">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#1.容量：≥22U 尺寸：600mm*600mm 配置：前钢化玻璃门、快开可拆卸侧门、单开后门。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综合布线系统（非人防区）</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#1.RVV4*0.75mm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5368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#1.室内单模≥4芯光缆，光纤类型：9/125um，满足G652.D标准，衰减@20℃（dB/Km）：@1310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4口终端盒</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#1.四口光纤终端盒，含耦合器、尾纤。</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#1.OS2单模9/125um双芯光纤跳线，LC-LC接头类型，长度≥1米；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#1.规格:≥550*120*350mm。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#1.≥100*50mm，桥架壁厚≥1.0mm，盖板壁厚≥0.8mm，含吊框、吊筋等。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#1.名称：≥KBG16穿线管，壁厚≥1.0mm，含接头、接线盒等辅材。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9294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铁构件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#1.U形，厚度：0.3-0.5mm。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墙面开槽</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#1.机柜管线开槽、打洞、及墙面恢复。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工作间系统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#1.86型单口面板，带弹簧门式防尘盖（平口）；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 网络面板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#1.四口86型。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 网络模块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楼层间系统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#1.全新PVC材质，符合GB/T43815-2024国标，管径≥20mm。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#1.室内单模≥12芯光缆，光纤类型：9/125um，满足G652.D标准，衰减@20℃（dB/Km）：@1310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#1.OS2单模9/125um双芯光纤跳线，LC-LC接头类型，长度≥2米；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#1.≥12口光纤配线架，LC端口、含尾纤耦合器；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#1.CAT6 UTP 4对标准RJ45/RJ45信息软跳线;PVC护套;规格≥2.0米。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参数同A-98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#1.桥架规格≥300*100mm，采用Q235B国标冷轧钢板，桥架壁厚≥1.5mm，盖板壁厚≥1.2mm。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#1.尺寸：≥5U，≥430*300*230mm，端口类型：LC含尾纤、耦合器；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参数同G-31 光纤跳线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计算机网络（设备网、互联网、政务网）</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#1.交换容量≥330Gbps，包转发率≥120Mpps，支持千兆电口≥24个，千兆光口≥4个；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#2.支持基于增强型媒体传输质量指标特性，将设备作为监控节点周期统计并上报音视频业务类指标参数至网络分析组件，由分析器结合多个节点的监控结果，对音视频业务质量类故障进行快速定界；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#3.配合网络分析组件通过智能故障识别算法对网络数据进行分析。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千兆光模块</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光模块-eSFP-GE-单模模块(1310nm,10km,LC)</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#1.交换容量≥1.36Tbps，包转发率≥460Mpps；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#2.千兆光接口数量≥24，复用的千兆Combo口≥8，万兆光接口数量≥4，专用堆叠口≥2；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#3.采用国产CPU和转发芯片；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#4.支持MAC表项≥32K，支持IPv4路由表≥8K，支持IPv6路由表≥3K；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#5.支持静态路由、RIP、RIPng、OSPF、OSPFv3、IS-IS、IS-ISv6、BGP、BGP4+，支持VRRP、VRRP6、ECMP；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#6.支持DRR、SP和DRR+SP队列调度算法；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#7.支持网络分片功能，基于QoS，实现业务隔离和带宽保证，切片之间可以完全隔离互不影响，流量在物理层隔离，业务在同一张物理网络上进行网络分片。网络切片技术可应用在接入层、汇聚层、核心层；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#1.交换容量≥2.56Tbps，包转发率≥1476Mpps；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★2.10/100/1000MBase-T以太网端口≥24，10GESFP+口≥16，25GESFP28口≥8；40/100GEQSFP28口≥2（提供官网链接及截图证明）；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#3.扩展插槽≥2；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#5.支持MAC表项≥131K，支持Ipv4路由FIB表≥131K，Ipv6路由FIB表≥65K;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#7.支持SRv6BE；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#8.全端口支持部署MACsec功能，通过身份认证、数据加密、完整性校验、重播保护等功能对传输的以太网数据帧进行保护；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H、安防（监控、报警、电子巡更）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一、视频监控系统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1.前端设备（公共区域）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#2.支持智能动检（人/车）、绊线入侵、区域入侵；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#3.为避免强光环境下鬼影影响，保证图像质量，设备镜头前盖玻璃呈倾斜状；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电梯半球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#1.采用不低于400万像素1/3英寸CMOS图像传感器；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#2.支持H.265编码，压缩比高，实现超低码流传输，最大支持256GBMicroSD卡，内置≥1个MIC，内置≥1个扬声器；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#4.支持ROI，SMARTH.264/H.265；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人员警戒摄像机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#1.采用≥2颗1/1.8英寸CMOS图像传感器，内置CPU、GPU、NPU芯片；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#2.可输出2路通道分辨率不小于400万(2688×1520)@25fps；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#3.设备支持双路电动变倍聚焦及一键聚焦；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#4.内置≥8颗双光补光灯，双向红外监控距离≥60米，双向暖光监控距离≥30米，补光灯开启后，无明显波纹状、圆环状、麻点状、条纹状及不规则亮斑；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#5.设备应支持≥4个麦克风、≥2个扬声器，支持报警2进2出，音频1进1出，485接口；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#6.双通道均支持水平、垂直方向进行角度调节，水平调整角度范围0°~90°，垂直调整角度范围0°~30°；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#7.最大支持1TMicroSD卡，支持DC12V/POE。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鹰眼摄像机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#1.采用不低于8个镜头拼接成不小于360度全景画面；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#2.采用8个不低于200万像素1/2.8英寸CMOS图像传感器；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#3.支持不低于2颗GPU芯片，支持深度学习算法；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#4.全景、细节通道:内置加热模块，可对镜头前盖玻璃加热，去除镜头玻璃上的冰状和水状附着物；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#5.支持枪球联动，支持AR全景展示，可添加各类AR标签；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#6.内置G-sensor，支持破坏检测；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#7.设备支持一键态势解析，可随时对当前视频数据进行数据分析，触发人群态势报警后，可在WEB页面上实时推送报警信息并进行抓图，可在抓拍的图片中体现报警信息，包括事件、类型、人数、时间、规则名称；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#8.细节摄像机自带雨刷，可远程控制开启雨刷；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#9.DC36V供电方式，支持12V电源返送。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外围枪机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#2.采用低照度不低于200万像素图像传感器,最大可输出3路200万（1920×1080）@25fps画面;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#3.设备具有周界大模型算法目标检测功能，可对距离设备≥160m处不小于20×20像素的目标（人员、机动车、非机动车）触发的拌线入侵事件进行检测；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#5.支持报警不低于2进2出，音频不低于1进1出，最大支持512GBMicroSD卡，内置双麦克风，内置扬声器;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#6.设备支持微云台电动控制，垂直旋转范围-10°~5°；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#7.支持DC12V/POE供电方式，支持12V电源返送，最大电流165mA。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广场人员布控</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#1.全景细节均采用不低于400万像素1/1.8英寸CMOS传感器；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#2.内置GPU芯片，支持深度学习算法；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#3.设备细节镜头内置GMR磁场传感器；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细节镜头从最小倍变倍聚焦至设备≥100m处人脸目标时间不大于0.3s，抓拍图片中人脸目标像素不低于70×70；从最小倍变倍聚焦至设备≥100m处车牌目标时间不大于0.3s，抓拍图片中车牌目标像素不低于150×50。（提供封面带“CMA”标识的第三方检测机构出具的检测报告原件扫描件）</w:t>
            </w:r>
            <w:r/>
          </w:p>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#5.全景摄像机具备≥4个暖光灯，细节摄像机具备≥6个混光灯，每个补光灯均包含红外补光模块和白光补光模块，设备支持混合补光，可单独开启红外灯和白光灯；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#6.可根据目标速度动态调整设备启动和中低速下的加速效率；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#7.支持视窗玻璃加热除雾功能，支持手动或自动启动雨刷功能；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#8.支持DC36V±25%宽电压输入。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出入口摄像机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#1.采用不低于400万像素1/2.8英寸CMOS传感器；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#3.内置不低于150米红外灯补光；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#4.支持陀螺仪防抖功能：在幅度≤±0.3度和频率（1-10）Hz范围内的抖动；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#5.内置≥2路报警输入和≥1路报警输出，支持报警联动功能，支持≥1路音频输入和≥1路音频输出。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#1.采用铝合金材料配套球机支架。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2.前端设备（库房内）</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#2.为了确保监控设备使用的稳定性，设备可同时采用DC12V电源与POE供电，当一路电源停止供电后，设备可正常工作；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#1.传感器类型：1/3英寸CMOS；筒型摄像机，内置MIC;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#3.不小于1600TVL(分辨率设置为2560×1440、帧率设置为30fps、码率设置为2Mbps、RJ45输出、图像四周有畸变);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#4.多路访问功能检验：在同一个客户端上，可最多同时开启20个视频窗口进行画面浏览;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#2.符合IEEE802.3af/IEEE802.3at/Hi-PoE/IEEE802.3bt供电标准，整机最大输出功率≥240W；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#3.设备具有永久POE功能，重启后终端供电不停。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#1.设备≥8个千兆RJ45口，≥2个光纤口；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#2.可实现自愈保护功能，当链路上任一节点出现故障可自动选择其它路由与中心通信保障无故障节点的正常通信；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#3.支持TCP/IP，PPPOE，DHCP，ICMP，NAT协议。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#1.SFP千兆单模光模块，1310nm，最大传输距离10km，接头类型：LC。</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电梯网桥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#1.WAN口类型:电口，无线协议:≥Wi-Fi6，LAN输出口:百兆网口，无线速率≥300M。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#1.室外≥4芯单模光缆，结构：室外中心束管式铠装光缆，光纤类型：9/125um，中心加强：单根磷化钢丝，铠装层：钢塑复合带，护套材料：聚乙烯，PE护套。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2038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#1.含空开断路器等。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监控立杆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#1.≥3.5米高，钢制；立杆四面可接横臂；内藏线检口设计；上管径≥76mm，下管径≥114mm；壁厚≥2mm。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立杆基础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#1.混凝土浇筑，含地笼、防雷接地；基础尺寸≥400*400*600mm。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#1.门板厚度≥0.5mm，箱体厚度≥0.5mm，箱体尺寸≥300*400*160mm。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开挖回填</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#1.室外监控管道开挖回填，需充分考虑档案馆各种开挖环境、绿化恢复及其他开挖面恢复。</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手口井</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#1.井口长≥330mm、井口宽≥330mm、深≥340mm，含井盖。</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PE管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#1.公称直径≥32毫米，主管的壁厚≥2.4毫米。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4.管理存储设备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存储磁盘阵列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#1.4U机箱，24盘位，内置不低于18块16T硬盘，设备支持1+1冗余电源，可支持对硬盘、电源、风扇、控制器模块热插拔维护；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#2.整机支持</w:t>
            </w:r>
            <w:r>
              <w:rPr>
                <w:rStyle w:val="1061"/>
                <w:rFonts w:hint="eastAsia" w:ascii="仿宋" w:hAnsi="仿宋" w:eastAsia="仿宋" w:cs="仿宋"/>
                <w:color w:val="auto"/>
                <w:sz w:val="24"/>
                <w:szCs w:val="24"/>
                <w:lang w:val="en-US" w:eastAsia="zh-CN" w:bidi="ar"/>
              </w:rPr>
              <w:t xml:space="preserve">国产化硬件及</w:t>
            </w:r>
            <w:r>
              <w:rPr>
                <w:rStyle w:val="1061"/>
                <w:rFonts w:hint="eastAsia" w:ascii="仿宋" w:hAnsi="仿宋" w:eastAsia="仿宋" w:cs="仿宋"/>
                <w:color w:val="auto"/>
                <w:sz w:val="24"/>
                <w:szCs w:val="24"/>
                <w:lang w:val="en-US" w:eastAsia="zh-CN" w:bidi="ar"/>
              </w:rPr>
              <w:t xml:space="preserve">操作系统；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检测接入视频的异常项，异常项目包括：视频遮挡、场景变化、视频抖动、噪声检测、条纹干扰、视频丢失、画面冻结、高亮度检测、清晰度侦测、视频偏色、场景剧变、低对比度、雪花噪点、保护膜未撕、视频紫边异常；支持轮巡检测；可按通道、时间查询视频质量诊断报表，支持采用饼图和柱状图汇总视频数据信息，支持采用表格展示检测异常项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可查看整机最大支持压缩路数、剩余压缩路数，可查看接入的原始码流、压缩码流大小。可查看所有配置压缩通道信息，包含压缩类型、原始码率、原始分辨率、压缩码率、压缩分辨率、压缩状态。支持通过过滤压缩类型、压缩状态等字段快速查看通道运行情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#5、支持一键诊断功能：支持硬盘状态、单盘性能、RAID状态、raid配置、硬盘盘组、网络状态、录像状态的健康状态诊断。</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智能物联综合管理平台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#1.基于智能物联的综合业务管理平台软件，配套了B/S管理员端、C/S客户端、移动APP终端、小程序等不同应用端；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#2.支持门禁设备能力集管理，可依据设备的能力集操作相应的业务，如：卡片鉴权、人脸鉴权、一人多脸、快速核验等业务；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#3.支持TLS安全连接数据库，通过安全传输层协议（TLS）可加密保护网络传输过程中的数据；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#4.支持车牌抓拍类设备的自动搜索，并按类型添加管理；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#5.支持在浏览器中进行多路无插件录像回放，可自动查找存储位置；支持设备抓图、本地录像、声音控制、窗口分割、全屏、自适应、倍速、精确定位等功能；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#6.支持对导入、导出平台excel业务数据进行密码加密;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☆☆7.门禁设备能力集管理功能:支持门禁设备能力集管理，可依据设备的能力集，操作相应的业务，如：卡片鉴权、人脸鉴权、指纹鉴权、一人多脸、快速核验等业务;（需根据要求提供软件视频演示）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门禁授权自动下发功能:支持门禁权限配置后，门禁授权自动下发，平台可实时展示当前的授权下发速率、下发进度、预计完成时间，可根据当前平台总体未完成记录数与总体下发的速率，综合换算出授权；（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用电安全、状态管理、报警联动及处理功能：系统支持勾选空开，选择分闸/合闸，远程控制空开、具备“漏保”功能的空开，进行漏电自检、可以查看空开的电压、电流、功率、温度的记录情况。支持配置设备发生报警后的联动动作；并支持基于地图，查找报警设备位置，显示处理报警信息。（需根据要求提供软件视频演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NTP校时设备</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#1.北斗时间源；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#2.配备≥30米长度天线，配备避雷器；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#3.双路220V冗余电源，支持双机热备，支持网卡绑定。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★1.交换容量≥4.8Tbps，包转发率≥1620Mpps，以官网最小值为准；万兆光端口≥24，40/100GEQSFP28端口≥6（提供官网链接及截图证明）；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#3.为了保证散热效果，支持≥4个可插拔风扇模块；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#5.支持安全启动，数字签名，支持软件包数字签名机制；安全启动功能可以在设备系统软件被破坏时拒绝启动；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#6.支持通过直接对业务报文进行测量得到IP网络的真实丢包率、时延等性能指标；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二、报警系统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防暴紧急求助终端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终端应能与数字管理机组网，数字管理机应能支持同时不低于4路终端呼入，当数字管理机选择接听1路后，其他路继续保持正常呼叫，数字管理机具有四分屏预览、呼叫转移、三级级联、语音投放、IPC接入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#2.支持标准POE，支持喧哗报警功能，检测到大声喧哗时自动向主机报警;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#3.支持12V/1A电源输出，音频输入：内置双路硅麦，外接3.5mm音频输入；音频输出：内置双扬声器，外接有源音箱，支持双网口，支持双网隔离;</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#4.音频输入：内置双路硅麦，外接3.5mm音频输入；音频输出：内置双扬声器，外接有源音箱，报警输入：≥2路；报警输出：≥2路。</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报警管理机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#1.主处理器：嵌入式处理器，按键类型：机械按键；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#2.接入标准：ONVIF；CGI；SDK；SIP；网络协议：IPv4；RTSP；UDP；FTP；RTP；TCP；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#3.屏幕类型：电容触摸屏；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#4.显示屏：≥10.1英寸显示屏；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#5.功耗：≤5W(待机)，≤10W(工作)。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#1.管线接头、水晶头等清单中未列明但安装时必须的辅材。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三、巡更系统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巡更信息钮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#1.形状：圆形，参数：RFID卡。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巡更人员钮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#1.可佩戴型，参数：RFID卡。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#1.通讯方式：RS323,存储记录不低于60000条；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#2.读卡反应时间：≤0.1s；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#3.工作温度范围：-40℃-70℃，工作湿度范围：30%-95%。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I、门禁管理</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#1.设备应采用≥7英寸LCD触摸显示屏，屏幕分辨率应≥1024×600；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#2.支持不低于5万个用户、5万张人脸、5万个密码、10万张IC卡、30万条记录;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#3.支持人脸、IC卡、密码、二维码等多种识别方式，并支持多种组合识别鉴权方式;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#4.支持未佩戴口罩检测模式，支持活体检测功能，支持手机照片、打印照片和视频防假；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▲5.人脸识别(人脸特征比对)速度应&lt;50ms（提供封面带“CMA”标识的第三方检测机构出具的检测报告原件扫描件）；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▲6.设备应支持最多6人同时进行人脸识别（提供封面带“CMA”标识的第三方检测机构出具的检测报告原件扫描件)；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#7.支持下模块扩展功能（指纹、二维码、人证、人证+二维码、指纹+二维码）；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#8.支持自定义语音，验证成功后可叠加播报姓名；</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▲9.设备应支持12V/1A电源输出功能，可以给锁具、读卡器等外设供电（提供封面带“CMA”标识的第三方检测机构出具的检测报告原件扫描件）；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设备应支持EMMC寿命监测功能，检测到EMMC寿命不足10%时，主动关闭日志记录写入功能，延长设备使用时长，同时，通过界面提示和异常事件上报提醒主动开展售后维保（提供封面带“CMA”标识的第三方检测机构出具的检测报告原件扫描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指纹下模块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#1.USB接口：≥1个type-c接口；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#2.工作温度：-30℃～+60℃。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开门按钮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#1.采用86型标准，PC阻燃面板，DC12-24V常开复位开关，适配86底盒。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#2.最大拉力：280kg×2（600Lbs×2）直线拉力；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#2.最大拉力：280kg×1（600Lbs×1）直线拉力；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门禁发卡器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#1.采用PC材质、亚克力面板；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#2.内置PSAM卡槽及PSAM卡（MicroSIM），支持Mifare卡（IC卡）、CPU卡、ID卡、身份证(序列号)的发卡，指纹采集；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#3.支持USB2.0接口。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#1.不低于1/2.8英寸CMOS传感器，最大支持1080P30fps视频输出；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#2.支持不低于1080P高清，最大可提供1080@30fps图像编码输出，同时向下兼容720p等分辨率；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#3.USB2.0接口，供电、视频、音频于一体；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#4.内置麦克风阵列，可全向拾音。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#1.交流输入：220V 50/60Hz，直流输出：稳压DC12V，持续输出电流3A；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#2.支持直接控制电锁；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#3.支持NO/NC（常开、常闭）功能。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#2.整机最大输出功率≥240W；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#1.包含水晶头、管线接头等清单中未列明但安装时必须的辅材。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J、应急广播</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前端设备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网络功放终端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#1.设备采用标准≥19英寸机架设计，带有LCD显示屏；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#2.内置≥1路网络硬件音频解码模块，支持≥1路线路输入和≥1路话筒输入接口，可独立调节音量；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#3.支持高低音调节电位器控制，具有≥1路EMC输入接口，具有最高优先级；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#4.具有≥1路音频输出接口，具有≥1路三线制强切输出接口；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#5.集成数字功放，功率≥240W；支持定压方式输出；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#6.支持通过后台软件对终端进行远程固件升级；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#8.内置主备切换检测模块，断网断电以及本机故障时≤0.3秒内切换到备份功率输入。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天花喇叭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#1.额定功率(100V)：≥1.5W，额定功率(70V)：≥0.75W，灵敏度(1W/1M)：≥92dB±3dB，喇叭单元：≥5"×1。</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#1.RVV2*1.5mm。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前置放大器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#1具有≥5路话筒（MIC）输入，≥3路标准信号线路（AUX）输入，≥2路紧急线路（EMC）输入；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#2.MIC5具有最高优先、强行切入优先功能；MIC5和EMC最高优先权限功能可通过拨动开关交替选择；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#3.紧急输入线路具有二级优先，强行切入优先功能；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#4.MIC1.2.3.4.5和≥2路紧急输入（EMC）通道均附设有线路辅助输入接口功能；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#5.具有默音深度调节旋钮和EMC输入增益调节旋钮。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音频采集器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#1.采集设备支持将模拟音频采集编码成数字音频，具有≥1路RJ45网络接口；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#2.具有≥2组RCA音频输入接口，支持音量调节功能；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#3.采播任务支持≥3种采集音质可选，支持普通、中级、高级音质选择模式；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#4.支持声压触发采集外部音源，智能识别音频，自动建立采集任务，可自定义执行区域，可自定义延时关闭时间。</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CD播放器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#1.吸入式机芯；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#2.自动播放控制，可播放：CD/VCD/MP3/DVD碟片；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#3.内置宽频监听扬声器，内置MP3播放器，可读USB和SD卡；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#4.可通过面板按键或红外遥控器控制操作；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#5.支持上电自动播放功能。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调谐器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#1.调频、调幅（AM/FM）立体声二波段接收可选，电台频率记忆存储≥99个；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#2.电台频率自动搜索存储功能，且有断电记忆功能；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#3.采用石英锁相环路频率合成器式调谐回路技术；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#4.≥两组接收天线输入：AM接收天线输入；FM接收天线75Ω输入；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#5.≥1路音频信号左右声道（L/R）输出；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#6.可通过面板按键或红外遥控器控制操作。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#1.换能方式：驻极体；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#2.钟声提示：带钟声提示功能；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#3.线材配备：≥10米（卡农母头转6.35音频线）；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#4.咪杆长度：≥420mm；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#5.具备灯环提示功能。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寻呼话筒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#1.显示屏自带数字键、功能键，支持通过触摸呼叫广播，支持呼叫分区及多个分区，呼叫全区广播；可支持≥10个按键自定义一键呼叫广播功能；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#3.支持监听任意终端功能，内置≥2W全频扬声器，实现双向通话和网络监听；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#4.具有≥1路音频线路输入接口，支持采集播放功能；具有≥1路音频线路输出接口，可外接功率放大器；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#5.支持直接操作呼叫或对讲任意终端，支持通过话筒广播呼叫功能，广播延时≤100ms；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#6.支持多种呼叫策略，包括无响应转移、占线转移、关机转移，支持自定义接听提示音，支持转移时间、无人接听时间、呼叫等待时间自定义；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#7.具有≥1个3.5耳机接口、≥1路3.5话筒输入接口；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#8.具有≥1路短路输出接口、≥1路短路输入接口。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IP网络音箱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#2.支持≥1路音频线路输入接口，具有独立的音量调节功能；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#3.设备集成有数字功放，功率≥2×20W（MAX），≥1路接主音箱，≥1路外接到副音箱；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#4.内置≥2级优先级功能设计：(1)AUX与网络背景音乐信号同级，混音输出。(2)网络报警信号优先AUX与网络背景音乐信号；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#5.支持IPv6、IPv4网络协议。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电源管理器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#1.支持≥16路电源输出，具有≥14个AC220V(10A)，≥2个AC220V(16A)接口，电源插口总容量达≥6KVA；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#2.可手动控制≥16个电源上断电；也可与定时器、智能控制器相连接，实现自动控制；支持配置CH1和CH2通道为受控或不受控状态；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#3.有≥1路24V消防信号输入接口；≥1路消防短路报警触发信号输出。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数字化网络广播系统服务平台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#1.实时显示音频终端的IP地址、在线状态、任务状态、音量运行状态；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撑各音频终端的运行，负责音频流传输管理，响应各音频终端播放请求和音频全双工交换，支持B/S架构，通过网页登陆可进行终端管理、用户管理、节目播放管理、音频文件管理、录音存储、内部通讯调度处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#3.管理节目库资源，为所有音频终端器提供定时播放和实时点播媒体服务，响应各终端的节目播放请求，为各音频工作站提供数据接口服务；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#4.支持多种呼叫策略，包括无响应转移、占线转移、关机转移，支持时间策略和转移策略自定义设置。支持设置对讲终端呼叫策略；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#5.支持终端短路输入联动触发，可任意设置联动触发方案和触发终端数量，触发方案包括短路输出、音乐播放、巡更警报。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#1.≥21.5寸，支持多屏拼接；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#2.窄画面黑边≤4mm；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#3.边框≤1.2mm。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#1.包含连接线、线缆接头，满足采购需求及安装要求。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K、能耗监测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数据采集系统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能耗监测平台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#1.系统可实时采集、分析用电数据，动态监测用电工况，搭载软件可视化看板，支持用电分类统计、异常能耗及浪费问题预警；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#2.支持电能流向可视化展示，通过能流图直观呈现电能输送路径与用途分布，精准展示核心耗能点位及终端用电构成；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#3.综合数据墙：全方位展示系统运行状态，直观展示报警统计、报警分布、报警处置、设备运行状态；支持报警设备地图闪烁提醒、重点部位视频展示、报警事件实时弹窗等；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#4.支持分析能源转换及利用环节损耗，识别能耗浪费项；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#5.将能耗检测平台系统融合至智能物联综合管理平台系统中做统一管理。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智能空开D型1P20A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#1.设备额定运行短路能力Ics：≥7.5KA；瞬时脱扣类型：C型/D型；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#3.当监测线路出现打火（故障电弧）时，触发打火报警，设备应发送打火报警信息至远程平台；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#4.当设备处于合闸状态时，启动一键分合闸功能，设备应能立即分闸；当设备处于分闸状态时，启动一键合闸功能，设备应能缓慢合闸。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智能空开D型2P32A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#1.级数：≥2P；额定电压Ue：AC230V；额定绝缘电压Ui： AC500V；额定冲击耐受电压：Uimp 4KV；额定运行短路能力Ics： ≥7.5KA；瞬时脱扣类型：C型/D型；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#2.设备应具有定时控制功能，可设置每个回路的分闸和合闸时间；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#3.当监测到线路中发生电量超额事件时，触发电量超额报警，设备可发送零火反接报警信息至远程平台；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#4.设备外壳材料应采用高规格防火阻燃材料、防火等级达到 V0 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#5.具备热双金保护功能，确保电子保护功能失效或者关闭后，物理结构仍可脱扣。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#1.额定电压：AC100V-300V；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#2.工作温度：–20℃～+70℃；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#3.工作湿度：≤95%（RH）；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#4.安装方式：C45导轨。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智能空开网关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#1.设备支持脱网下定制控制，可设置在断网情况下，定制启动预案；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#2.设备支持断网续传，当网络故障恢复后，设备应能将信息即时发送至远程平台；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#3.设备支持远程升级功能，可通过远程平台升级固件；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#5.支持≥29路节点；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#6.支持Wi-Fi或以太网通讯方式。</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#1.含接地装置、浪涌保护等。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#1.含数据传输线缆等清单中未列明但安装时必须的辅材。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强电布线系统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#1.墙面5孔插座，额定电压250V、额定电流10A，采用阻燃PC面板。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3154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9462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线路开槽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#1.库房强电改造涉及墙面开槽及墙面恢复。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L、安全设备</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安全设备</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下一代防火墙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6个千兆电口，≥4个千兆光口，≥2个扩展插槽；整机吞吐：不小于25Gbps，最大新建：不小于15W，并发数连接数：不小于1000W；提供不少于三年入侵防御、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#2.支持主要防护功能的模板一键配置，分为高、中、低三个级别，分别对应不同的安全防护等级进行配置，包括入侵防护策略、病毒防护策略、协议控制策略、流量控制等；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▲3.产品具有链路聚合功能，支持802.3ad、轮询、热备等多种模式；（提供截图证明并加盖投标人公章）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#6.支持系统快照功能，可对快照进行是否可用进行检测，可根据名称、快照日期、快照状态、备份模式、版本信息等条件进行筛选，并提供快照信息打印功能；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#7.支持邮件服务器地址黑名单、邮件地址、主题、正文、附件名、附件内容等进行关键字匹配过滤；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4个千兆电口，≥4个千兆光口，≥1个扩展插槽；整机吞吐：不小于8Gbps，最大新建：不小于5W，并发数连接数：不小于160W；提供不少于三年入侵防御模块、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▲2.支持抗Smurf攻击、抗LAND攻击、抗Winnuke攻击、抗SYN、抗Teardrop攻击、Pingofdeath；（提供截图证明并加盖投标人公章）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#3.支持与电磁屏蔽机柜联动，根据机柜门状态执行阻断策略、邮件告警、日志记录；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#4.支持一体化安全策略配置进行安全访问规则的设置；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#7.采用木马通信通道检测技术，可检测木马隐蔽通道，防止木马对网络内业务系统的攻击行为；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#8.支持广告程序、AutoIt病毒脚本、后门、木马、DOS攻击程序、网络蠕虫、漏洞木马、流氓软件、黑客工具、恶意程序、垃圾文件、宏病毒、挖矿病毒、加壳木马等多种类型的病毒防护；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上网行为管理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#1.1U标准机架式，设备支持国产化操作系统和CPU，设备配置≥4个千兆电口，≥2个光电复用接口；</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#2.带宽不小于500M，提供不少于三年特征库升级服务；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#3.支持路由模式、透明（网桥）模式、混合模式，支持镜像接口，部署模式切换无需重启设备；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#4.支持服务器负载均衡，支持一个公网IP映射到内网多台服务器，服务器间支持连接和源地址hash，支持服务器健康检查；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#5.提供WEB防护功能；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#6.产品具有跨境监测访问大屏展示的功能；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▲7.采用点对点流量识别技术，可准确识别出流量中的异常；提供第三方机构出具的检测报告或证书；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#8.提供智能策略分析功能，支持策略命中分析、策略冗余分析、策略冲突检查，并可在WEB界面显示检测结果；</w:t>
            </w:r>
            <w:r>
              <w:rPr>
                <w:rStyle w:val="1061"/>
                <w:rFonts w:hint="eastAsia" w:ascii="仿宋" w:hAnsi="仿宋" w:eastAsia="仿宋" w:cs="仿宋"/>
                <w:color w:val="auto"/>
                <w:sz w:val="24"/>
                <w:szCs w:val="24"/>
                <w:lang w:val="en-US" w:eastAsia="zh-CN" w:bidi="ar"/>
              </w:rPr>
              <w:b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超融合态势感知平台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#1.2U标准机架式，冗余电源，设备支持国产化操作系统和CPU，设备配置≥4千兆电口，≥4千兆光口，≥2个接口扩展槽，吞吐不小于1.5Gbps，提供不少于三年特征库升级服务；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#2.支持深度协议解析包括http、http2、dhcp、dns、ftp、mysql、imap、bgp、sip、pptp、l2tp等多种通用协议解析。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#3.产品具有专有的挖矿分析场景，对网络中的挖矿结果有直观的图形化展示；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#4.具备攻击者视角展示攻击日志，通过多维度分析攻击者手段，达到关联分析外部IP对内部资产攻击行为目的；</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文件检测，检测协议包括HTTP/WEBMAIL、SMTP、FTP、SMB、IMAP、POP3，检测文件类型包括：网页文件、图形文件、压缩文件、Windows执行文件、Linux执行文件、脚本文件、移动终端文件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#6.产品具有翻墙行为分析场景，基于规则与算法针对违规VPN访问行为进行检测，场景展示内容包含:告警IP、违规翻墙IP、目的IP地区统计；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#7.产品具有专有的敏感信息分析场景：场景展示内容包含:敏感信息类型、Host、告警IP;日志展示内容包含:源IP、目的IP、源端口、目的端口、Hots、HTTP方法、敏感信息类型、敏感信息、URL。</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Web应用防护系统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#1.1U标准机架设备，设备支持国产化操作系统和CPU，设备配置≥1个管理口，≥1个HA口，≥6个10/100/1000Base-T接口，≥4个千兆光口，≥2个扩展插槽，提供不少于三年Web应用防护特征库升级授权；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#2.网络层吞吐不小于3.5G，每秒新建HTTP事务数不小于8万，最大并发HTTP连接数不小于250万；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#3.支持人机识别功能；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#4.上报日志中有日志解码工具，通过解码工具可准确查看攻击语句；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#5.产品具有编解码能力，支持对各种编码，例如:URL编码、HTML编码、JSON编码、XML编码、Base64编码、Unicode编码、十六进制转换编码、斜杠反转义编码、CHR编码、UTF-7编码进行检测与防护；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▲6.采用报文过滤技术，实现网络攻击防护。提供第三方机构出具的检测报告或证书；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#7.支持Web恶意扫描防护功能，至少包含爬虫防护、CGI扫描防护、漏洞扫描防护等模块；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#8.支持设备统一巡检，可对上线WAF设备进行统一巡检，按照模板类型选择健康巡检、基线巡检，输出巡检报告可通过邮箱方式进行发送。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日志审计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#1.1U标准机架式设备，设备支持国产化操作系统和CPU，设备配置≥6个千兆电口，≥4个千兆光口，≥2个USB，日志采集处理速度不小于3000EPS，提供日志源授权不小于30个；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日志审计大屏展示，展示系统运行时间、日志总体概况、最近24小时活跃日志源、日志源状态、日志分类、日志采集趋势、系统资源利用率（CPU、内存、资源）、最近24小时告警等级分布、最新24小时告警列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#3.能对网络设备、安全设备和系统、主机操作系统、数据库以及各种应用系统的日志、事件、告警等安全信息进行全面的审计；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#4.系统提供基于资产的拓扑视图，可以按列表和拓扑两种模式显示资产拓扑节点；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▲5.支持SNMP、Syslog、文件/文件夹、WMI、FTP、SFTP、SMB等多种方式完成日志收集功能；（提供截图证明并加盖投标人公章）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#6.产品具有故障排查方法和系统；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#7.产品具有实时分析策略、历史分析策略、告警统计策略、仪表板视图。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数据库审计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#1.1U标准机架式设备，设备支持国产化操作系统和CPU，设备配置≥6个电口（含1个管理口，1个HA口），≥4个千兆SFP接口插槽，≥3个接口扩展槽，≥1个RJ45串口，硬盘不少于4T，提供不少于3个审计数授权；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#2.可审计流量不小于500Mbps，记录事件能力不小于1.6万条/秒；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#3.支持国产数据库人大金仓、达梦、南大通用、神通、高斯、瀚高、巨杉、虚谷、OceanBase、AnalyticDBMySql、AnalyticDBPostgreSQL、RDSMySql、RDSPostgreSQL等数据库的审计；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#4.支持对针对数据库的SQL注入、CVE高危漏洞利用、口令攻击、缓冲区溢出等攻击行为进行审计；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#5.支持双向审计，支持对Select操作返回行数和返回内容的审计；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▲6.产品具有设备统一控制技术，对网络内的设备进行统一安全管理。提供第三方机构出具的检测报告或证书；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#7.支持审计访问数据库的时间、源/目的IP、源/目的端口、源/目的mac、资源账号、数据库名、表名、命令、SQL语句、响应时间、错误码、影响/返回行数；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#8.支持审计GB28181标准的sip协议的请求源、请求目的、命令类型、命令参数、资源账号等内容。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堡垒机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#1.1U标准机架式设备，设备支持国产化操作系统和CPU，设备配置≥6个千兆电口，≥4个千兆光口，≥1个Console管理口，存储容量≥2TB，提供≥50个资源授权；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#2.字符协议不小于600个，图形会话并发不小于200路；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#3.支持NAT地址映射部署，通过映射后的IP地址访问堡垒机进行管理和运维操作，支持从多个映射地址访问；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▲4.支持Oracle、Postgresql、Sybase、DB2、KingBase、GBase8a、Hive等数据库下行返回行数记录。（提供截图证明并加盖投标人公章）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#5.支持WEB界面上传改密脚本，通过自定义脚本模式实现新增改密类型；</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#6.产品具有僵尸、幽灵、孤儿账号稽核功能，并可以导出异常账号稽核情况报告；</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#7.审计查询关键字和结果显示支持多种编码；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#8.支持扫描本地运维工具并进行配置保存。</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漏洞扫描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双电源；设备配置≥6个千兆电口，≥4个千兆光口，≥1个RJ45Console口，≥2个USB接口，存储≥128SSD+4TSATA，自带液晶屏，≥2个接口扩展插槽；产品具有主机漏扫功能，可扫描IP地址总数无限制，单任务最大可扫描100IP地址，并发扫描不小于40IP地址；提供不少于3年漏洞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#2.支持扫描的漏洞数量不小于400000个；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#3.产品具有对主流大数据组件的识别与扫描功能；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▲4.支持多种协议口令猜测，包括SMB、Snmp、Telnet、Pop3、SSH、RDP、DB2、MySQL、Oracle、MongoDB、ActiveMQ、WebLogic、REDIS、SMTP等；（提供截图证明并加盖投标人公章）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配置变更监测，可以根据实际情况设置任意检查结果作为变更基线，支持与自身或者其他设备的同类型变更项进行对比,周期性监测系统的文件、目录、启动项、进程等配置信息及变更状态。并支持生成配置变更监测报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#6.支持检查结果报告中至少包含如下检查信息：加固方案、检查方法、风险等级、原始结果、分析结果、合规判定逻辑、合规标准值、实际值、检查结果、检查点说明等。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主机防护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#1.支持国产化服务器及PC设备；本次配置服务器授权不小于10台，PC设备授权不小于50台，提供不少于3年系统升级和病毒库升级授权；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#2.支持威胁态势大屏展示，可展示威胁告警统计、攻击阶段统计、威胁等级统计、最新</w:t>
            </w:r>
            <w:r>
              <w:rPr>
                <w:rStyle w:val="1061"/>
                <w:rFonts w:hint="eastAsia" w:ascii="仿宋" w:hAnsi="仿宋" w:eastAsia="仿宋" w:cs="仿宋"/>
                <w:color w:val="auto"/>
                <w:sz w:val="24"/>
                <w:szCs w:val="24"/>
                <w:lang w:val="en-US" w:eastAsia="zh-CN" w:bidi="ar"/>
              </w:rPr>
              <w:t xml:space="preserve">告警、行为基线告警种类、终端威胁告警、漏洞等维度进行分块呈现；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#3.支持通过定时任务对局域网内的服务器进行扫描，支持ARP、Ping、Nmap三种扫描方式；通过Nmap方式能够获取服务器相关信息，包括MAC地址、设备类型、未知主机IP、操作系统、发现方式、首次发现时间等；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#4.支持操作系统弱口令检查；支持导入用户自定义的弱口令字典库，并对存在弱口令的终端进行弹窗提示；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#5.支持离线威胁情报，可对终端采集信息进行威胁碰撞检测，内容包含：文件威胁检测、IP威胁检测、域名威胁检测。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bl>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CN"/>
        </w:rPr>
        <w:t xml:space="preserve">（二）</w:t>
      </w:r>
      <w:r>
        <w:rPr>
          <w:rFonts w:hint="eastAsia" w:ascii="仿宋" w:hAnsi="仿宋" w:eastAsia="仿宋" w:cs="Calibri"/>
          <w:color w:val="auto"/>
          <w:sz w:val="24"/>
          <w:szCs w:val="24"/>
          <w:lang w:val="en-US" w:eastAsia="zh"/>
        </w:rPr>
        <w:t xml:space="preserve">《采购清单及技术参数要求》技术参数说明如下：</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w:t>
      </w:r>
      <w:r>
        <w:rPr>
          <w:rFonts w:hint="eastAsia" w:ascii="仿宋" w:hAnsi="仿宋" w:eastAsia="仿宋" w:cs="Calibri"/>
          <w:color w:val="auto"/>
          <w:sz w:val="24"/>
          <w:szCs w:val="24"/>
          <w:lang w:val="en-US" w:eastAsia="zh"/>
        </w:rPr>
        <w:t xml:space="preserve">采购清单中设备名称前标有“●”的为核心产品，不同</w:t>
      </w:r>
      <w:r>
        <w:rPr>
          <w:rFonts w:hint="eastAsia" w:ascii="仿宋" w:hAnsi="仿宋" w:eastAsia="仿宋" w:cs="Calibri"/>
          <w:color w:val="auto"/>
          <w:sz w:val="24"/>
          <w:szCs w:val="24"/>
          <w:lang w:val="en-US" w:eastAsia="zh-CN"/>
        </w:rPr>
        <w:t xml:space="preserve">投标人</w:t>
      </w:r>
      <w:r>
        <w:rPr>
          <w:rFonts w:hint="eastAsia" w:ascii="仿宋" w:hAnsi="仿宋" w:eastAsia="仿宋" w:cs="Calibri"/>
          <w:color w:val="auto"/>
          <w:sz w:val="24"/>
          <w:szCs w:val="24"/>
          <w:lang w:val="en-US" w:eastAsia="zh"/>
        </w:rPr>
        <w:t xml:space="preserve">核心产品标的品牌相同按同品牌投标人处理</w:t>
      </w:r>
      <w:r>
        <w:rPr>
          <w:rFonts w:hint="eastAsia" w:ascii="仿宋" w:hAnsi="仿宋" w:eastAsia="仿宋" w:cs="Calibri"/>
          <w:color w:val="auto"/>
          <w:sz w:val="24"/>
          <w:szCs w:val="24"/>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w:t>
      </w:r>
      <w:r>
        <w:rPr>
          <w:rFonts w:hint="eastAsia" w:ascii="仿宋" w:hAnsi="仿宋" w:eastAsia="仿宋" w:cs="Calibri"/>
          <w:color w:val="auto"/>
          <w:sz w:val="24"/>
          <w:szCs w:val="24"/>
          <w:lang w:val="en-US" w:eastAsia="zh"/>
        </w:rPr>
        <w:t xml:space="preserve">标注“</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为实质性参数，不接受负偏离，按要求提供证明材料，否则按无效标处理。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3.</w:t>
      </w:r>
      <w:r>
        <w:rPr>
          <w:rFonts w:hint="eastAsia" w:ascii="仿宋" w:hAnsi="仿宋" w:eastAsia="仿宋" w:cs="Calibri"/>
          <w:color w:val="auto"/>
          <w:sz w:val="24"/>
          <w:szCs w:val="24"/>
          <w:lang w:val="en-US" w:eastAsia="zh"/>
        </w:rPr>
        <w:t xml:space="preserve">标注“▲”的技术参数为重要技术参数，须按招标文件指定要求提供证明材料</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未提供视为</w:t>
      </w:r>
      <w:r>
        <w:rPr>
          <w:rFonts w:hint="eastAsia" w:ascii="仿宋" w:hAnsi="仿宋" w:eastAsia="仿宋" w:cs="Calibri"/>
          <w:color w:val="auto"/>
          <w:sz w:val="24"/>
          <w:szCs w:val="24"/>
          <w:lang w:val="en-US" w:eastAsia="zh-CN"/>
        </w:rPr>
        <w:t xml:space="preserve">负偏离</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 </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4.</w:t>
      </w:r>
      <w:r>
        <w:rPr>
          <w:rFonts w:hint="eastAsia" w:ascii="仿宋" w:hAnsi="仿宋" w:eastAsia="仿宋" w:cs="Calibri"/>
          <w:color w:val="auto"/>
          <w:sz w:val="24"/>
          <w:szCs w:val="24"/>
          <w:lang w:val="en-US" w:eastAsia="zh"/>
        </w:rPr>
        <w:t xml:space="preserve">标注</w:t>
      </w:r>
      <w:r>
        <w:rPr>
          <w:rFonts w:hint="eastAsia" w:ascii="仿宋" w:hAnsi="仿宋" w:eastAsia="仿宋" w:cs="仿宋"/>
          <w:color w:val="auto"/>
          <w:sz w:val="24"/>
          <w:szCs w:val="24"/>
          <w:lang w:val="en-US" w:eastAsia="zh-CN"/>
        </w:rPr>
        <w:t xml:space="preserve">“☆☆”的技术参数（共10条）</w:t>
      </w:r>
      <w:r>
        <w:rPr>
          <w:rFonts w:hint="eastAsia" w:ascii="仿宋" w:hAnsi="仿宋" w:eastAsia="仿宋" w:cs="仿宋"/>
          <w:color w:val="auto"/>
          <w:sz w:val="24"/>
          <w:szCs w:val="24"/>
          <w:lang w:val="en-US" w:eastAsia="zh-CN" w:bidi="ar"/>
        </w:rPr>
        <w:t xml:space="preserve">，投标人需提供产品功能演示视频，</w:t>
      </w:r>
      <w:r>
        <w:rPr>
          <w:rFonts w:hint="eastAsia" w:ascii="仿宋" w:hAnsi="仿宋" w:eastAsia="仿宋" w:cs="仿宋"/>
          <w:color w:val="auto"/>
          <w:sz w:val="24"/>
          <w:szCs w:val="24"/>
          <w:lang w:val="en-US" w:eastAsia="zh-CN"/>
        </w:rPr>
        <w:t xml:space="preserve">投标人提交的产品演示视频（含功能演示、参数实测、</w:t>
      </w:r>
      <w:r>
        <w:rPr>
          <w:rFonts w:hint="eastAsia" w:ascii="仿宋" w:hAnsi="仿宋" w:eastAsia="仿宋" w:cs="仿宋"/>
          <w:color w:val="auto"/>
          <w:sz w:val="24"/>
          <w:szCs w:val="24"/>
          <w:lang w:val="en-US" w:eastAsia="zh-CN"/>
        </w:rPr>
        <w:t xml:space="preserve">操作展示等），需与实际所投产品技术参数、功能一致。</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5</w:t>
      </w:r>
      <w:r>
        <w:rPr>
          <w:rFonts w:hint="eastAsia" w:ascii="仿宋" w:hAnsi="仿宋" w:eastAsia="仿宋" w:cs="Calibri"/>
          <w:color w:val="auto"/>
          <w:sz w:val="24"/>
          <w:szCs w:val="24"/>
          <w:lang w:val="en-US" w:eastAsia="zh-CN"/>
        </w:rPr>
        <w:t xml:space="preserve">.标注“＃”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6</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除辅材（含以施工为主的条目</w:t>
      </w:r>
      <w:r>
        <w:rPr>
          <w:rFonts w:hint="eastAsia" w:ascii="仿宋" w:hAnsi="仿宋" w:eastAsia="仿宋" w:cs="Calibri"/>
          <w:color w:val="auto"/>
          <w:sz w:val="24"/>
          <w:szCs w:val="24"/>
          <w:lang w:val="en-US" w:eastAsia="zh-CN"/>
        </w:rPr>
        <w:t xml:space="preserve">）和技术参数</w:t>
      </w:r>
      <w:r>
        <w:rPr>
          <w:rFonts w:hint="eastAsia" w:ascii="仿宋" w:hAnsi="仿宋" w:eastAsia="仿宋" w:cs="Calibri"/>
          <w:color w:val="auto"/>
          <w:sz w:val="24"/>
          <w:szCs w:val="24"/>
          <w:lang w:val="en-US" w:eastAsia="zh"/>
        </w:rPr>
        <w:t xml:space="preserve">标明为定制的货物</w:t>
      </w:r>
      <w:r>
        <w:rPr>
          <w:rFonts w:hint="eastAsia" w:ascii="仿宋" w:hAnsi="仿宋" w:eastAsia="仿宋" w:cs="Calibri"/>
          <w:color w:val="auto"/>
          <w:sz w:val="24"/>
          <w:szCs w:val="24"/>
          <w:lang w:val="en-US" w:eastAsia="zh-CN"/>
        </w:rPr>
        <w:t xml:space="preserve">、仪器和器材</w:t>
      </w:r>
      <w:r>
        <w:rPr>
          <w:rFonts w:hint="eastAsia" w:ascii="仿宋" w:hAnsi="仿宋" w:eastAsia="仿宋" w:cs="Calibri"/>
          <w:color w:val="auto"/>
          <w:sz w:val="24"/>
          <w:szCs w:val="24"/>
          <w:lang w:val="en-US" w:eastAsia="zh"/>
        </w:rPr>
        <w:t xml:space="preserve">之外</w:t>
      </w:r>
      <w:r>
        <w:rPr>
          <w:rFonts w:hint="eastAsia" w:ascii="仿宋" w:hAnsi="仿宋" w:eastAsia="仿宋" w:cs="Calibri"/>
          <w:color w:val="auto"/>
          <w:sz w:val="24"/>
          <w:szCs w:val="24"/>
          <w:lang w:val="en-US" w:eastAsia="zh-CN"/>
        </w:rPr>
        <w:t xml:space="preserve">（具体如下A-1 垃圾清运出院区、A-7 辅材、A</w:t>
      </w:r>
      <w:r>
        <w:rPr>
          <w:rFonts w:hint="eastAsia" w:ascii="仿宋" w:hAnsi="仿宋" w:eastAsia="仿宋" w:cs="Calibri"/>
          <w:color w:val="auto"/>
          <w:sz w:val="24"/>
          <w:szCs w:val="24"/>
          <w:lang w:val="en-US" w:eastAsia="zh-CN"/>
        </w:rPr>
        <w:t xml:space="preserve">-8 墙体砌筑、A-12 包门套、A-16 走道乳胶漆修复、A-17 辅材、A-25 辅材、A-34 辅材、A-57 辅材、A-63 辅件、A-70 辅材、A-97 辅材、A-107 辅材、A-153 安装辅材、B-28 辅材、D-19 库房综合布线、F-7 辅材、F-29 值班室建设、F-37 消防控制室搬迁、G-10 辅材、G-21 辅材、G-27 辅材、H-26立杆基础、H-28开挖回填、H-29手口井、H-40 辅材、I-14 辅材、J-16 辅材、K-7 辅材、K-14 辅材、K-15 线路开槽）</w:t>
      </w:r>
      <w:r>
        <w:rPr>
          <w:rFonts w:hint="eastAsia" w:ascii="仿宋" w:hAnsi="仿宋" w:eastAsia="仿宋" w:cs="Calibri"/>
          <w:color w:val="auto"/>
          <w:sz w:val="24"/>
          <w:szCs w:val="24"/>
          <w:lang w:val="en-US" w:eastAsia="zh"/>
        </w:rPr>
        <w:t xml:space="preserve">其它应该标明品牌和型号的</w:t>
      </w:r>
      <w:r>
        <w:rPr>
          <w:rFonts w:hint="eastAsia" w:ascii="仿宋" w:hAnsi="仿宋" w:eastAsia="仿宋" w:cs="Calibri"/>
          <w:color w:val="auto"/>
          <w:sz w:val="24"/>
          <w:szCs w:val="24"/>
          <w:lang w:val="en-US" w:eastAsia="zh-CN"/>
        </w:rPr>
        <w:t xml:space="preserve">产品、仪器和器材投标人</w:t>
      </w:r>
      <w:r>
        <w:rPr>
          <w:rFonts w:hint="eastAsia" w:ascii="仿宋" w:hAnsi="仿宋" w:eastAsia="仿宋" w:cs="Calibri"/>
          <w:color w:val="auto"/>
          <w:sz w:val="24"/>
          <w:szCs w:val="24"/>
          <w:lang w:val="en-US" w:eastAsia="zh"/>
        </w:rPr>
        <w:t xml:space="preserve">在投标文件中必须标明</w:t>
      </w:r>
      <w:r>
        <w:rPr>
          <w:rFonts w:hint="eastAsia" w:ascii="仿宋" w:hAnsi="仿宋" w:eastAsia="仿宋" w:cs="Calibri"/>
          <w:color w:val="auto"/>
          <w:sz w:val="24"/>
          <w:szCs w:val="24"/>
          <w:lang w:val="en-US" w:eastAsia="zh-CN"/>
        </w:rPr>
        <w:t xml:space="preserve">产品、仪器和器材</w:t>
      </w:r>
      <w:r>
        <w:rPr>
          <w:rFonts w:hint="eastAsia" w:ascii="仿宋" w:hAnsi="仿宋" w:eastAsia="仿宋" w:cs="Calibri"/>
          <w:color w:val="auto"/>
          <w:sz w:val="24"/>
          <w:szCs w:val="24"/>
          <w:lang w:val="en-US" w:eastAsia="zh"/>
        </w:rPr>
        <w:t xml:space="preserve">的品牌、型号，否则作无效</w:t>
      </w:r>
      <w:r>
        <w:rPr>
          <w:rFonts w:hint="eastAsia" w:ascii="仿宋" w:hAnsi="仿宋" w:eastAsia="仿宋" w:cs="Calibri"/>
          <w:color w:val="auto"/>
          <w:sz w:val="24"/>
          <w:szCs w:val="24"/>
          <w:lang w:val="en-US" w:eastAsia="zh-CN"/>
        </w:rPr>
        <w:t xml:space="preserve">投标</w:t>
      </w:r>
      <w:r>
        <w:rPr>
          <w:rFonts w:hint="eastAsia" w:ascii="仿宋" w:hAnsi="仿宋" w:eastAsia="仿宋" w:cs="Calibri"/>
          <w:color w:val="auto"/>
          <w:sz w:val="24"/>
          <w:szCs w:val="24"/>
          <w:lang w:val="en-US" w:eastAsia="zh"/>
        </w:rPr>
        <w:t xml:space="preserve">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7</w:t>
      </w:r>
      <w:r>
        <w:rPr>
          <w:rFonts w:hint="eastAsia" w:ascii="仿宋" w:hAnsi="仿宋" w:eastAsia="仿宋" w:cs="Calibri"/>
          <w:color w:val="auto"/>
          <w:sz w:val="24"/>
          <w:szCs w:val="24"/>
          <w:lang w:val="en-US" w:eastAsia="zh-CN"/>
        </w:rPr>
        <w:t xml:space="preserve">.投标人应当对《中小企业声明函》真实性负责，投标人出具的《中小企业声明函》应当对本次采购标的逐一列明制造商且应当与明细报价表内容相对应。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8</w:t>
      </w:r>
      <w:r>
        <w:rPr>
          <w:rFonts w:hint="eastAsia" w:ascii="仿宋" w:hAnsi="仿宋" w:eastAsia="仿宋" w:cs="Calibri"/>
          <w:color w:val="auto"/>
          <w:sz w:val="24"/>
          <w:szCs w:val="24"/>
          <w:lang w:val="en-US" w:eastAsia="zh-CN"/>
        </w:rPr>
        <w:t xml:space="preserve">.除特别标注尺寸偏差、大于、大于等于、小于及小于等于之外，其他固定尺寸允许偏差±5%。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9</w:t>
      </w:r>
      <w:r>
        <w:rPr>
          <w:rFonts w:hint="eastAsia" w:ascii="仿宋" w:hAnsi="仿宋" w:eastAsia="仿宋" w:cs="Calibri"/>
          <w:color w:val="auto"/>
          <w:sz w:val="24"/>
          <w:szCs w:val="24"/>
          <w:lang w:val="en-US" w:eastAsia="zh-CN"/>
        </w:rPr>
        <w:t xml:space="preserve">.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、项目要求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（一）供货要求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中标人应提供合格货物，保证货物为全新、未使用的原厂原装正品，货物上均有合格证，包括品牌的有关标志，所有货物进场前需向采购人报验，经同意后方可进场安装。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（二）质量保证</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应保证提供的货物经过正确安装、正常使用和保养条件下，在其使用寿命内应具有满意的性能。货物最终验收后，在售后服务期内，</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应对由于设计、工艺或材料的缺陷以及其他由于生产厂家或</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的原因而发生的任何不足或故障负责，费用由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负担。</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发出索赔通知。</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在收到通知后，应在合同所附服务承诺约定的时间内维修、更换有缺陷的货物或部件。</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（4）如果</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在收到通知后，在合同所附服务承诺约定的时间内没有弥补缺陷，采购人可采取必要的补救措施，但风险和费用将由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承担。</w:t>
      </w:r>
      <w:r/>
    </w:p>
    <w:p>
      <w:pPr>
        <w:ind w:firstLine="480"/>
        <w:keepLines w:val="0"/>
        <w:keepNext w:val="0"/>
        <w:pageBreakBefore w:val="0"/>
        <w:spacing w:line="48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（三）货物的包装、发运及运输</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应在货物发运前对其进行满足运输距离、防潮、防震、防锈和防破损装卸等要求包装，以保证货物安全运达采购人指定地点。</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对货物的包装应符合《商品包装政府采购需求标准（试行）</w:t>
      </w:r>
      <w:r>
        <w:rPr>
          <w:rFonts w:hint="eastAsia" w:ascii="仿宋" w:hAnsi="仿宋" w:eastAsia="仿宋" w:cs="Calibri"/>
          <w:color w:val="auto"/>
          <w:sz w:val="24"/>
          <w:szCs w:val="24"/>
          <w:lang w:val="en-US" w:eastAsia="zh-CN"/>
        </w:rPr>
        <w:t xml:space="preserve">》和</w:t>
      </w:r>
      <w:r>
        <w:rPr>
          <w:rFonts w:hint="eastAsia" w:ascii="仿宋" w:hAnsi="仿宋" w:eastAsia="仿宋" w:cs="Calibri"/>
          <w:color w:val="auto"/>
          <w:sz w:val="24"/>
          <w:szCs w:val="24"/>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（4）货物在规定的交付期限内由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送达采购人指定的地点视为交付，</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同时需通知采购人货物已送达。</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四</w:t>
      </w:r>
      <w:r>
        <w:rPr>
          <w:rFonts w:hint="eastAsia" w:ascii="仿宋" w:hAnsi="仿宋" w:eastAsia="仿宋" w:cs="Calibri"/>
          <w:color w:val="auto"/>
          <w:sz w:val="24"/>
          <w:szCs w:val="24"/>
          <w:lang w:val="en-US" w:eastAsia="zh"/>
        </w:rPr>
        <w:t xml:space="preserve">）清单相关安装要求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1.投标人可提前踏勘现场，结合现场和采购要求，考虑装修、安装的接电接水材料、电路控制电气（如需含电箱）、设备安装基础及吊装、高空作业（如有须满足）、管道开洞及封补、垃圾清运等采购安装事务、费用及相关辅材。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本次采购内容实施与同项目装饰装修工程存在同时进场实施的情形，投标人应综合考虑因交叉作业产生的风险，包括但不限于工期影响、质量影响、成品保护、工序干扰、作业安全防护及验收影响等，相关费用综合考虑在报价中不再另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3.</w:t>
      </w:r>
      <w:r>
        <w:rPr>
          <w:rFonts w:hint="eastAsia" w:ascii="仿宋" w:hAnsi="仿宋" w:eastAsia="仿宋" w:cs="Calibri"/>
          <w:color w:val="auto"/>
          <w:sz w:val="24"/>
          <w:szCs w:val="24"/>
          <w:lang w:val="en-US" w:eastAsia="zh"/>
        </w:rPr>
        <w:t xml:space="preserve">中标人需注意安装调试现场安全，做好安全文明施工，一切责任自负，与采购人无关。施工中应做好原有建筑及设施防护，若因中标人原因致其损坏，由中标人负责维修恢复。</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（五）验收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（1）验收要求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（2）验收标准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六</w:t>
      </w:r>
      <w:r>
        <w:rPr>
          <w:rFonts w:hint="eastAsia" w:ascii="仿宋" w:hAnsi="仿宋" w:eastAsia="仿宋" w:cs="Calibri"/>
          <w:color w:val="auto"/>
          <w:sz w:val="24"/>
          <w:szCs w:val="24"/>
          <w:lang w:val="en-US" w:eastAsia="zh"/>
        </w:rPr>
        <w:t xml:space="preserve">）节能、环保产品政策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对照财库〔2019〕9号、财库〔2019〕19号文件规定，投标人所投产品属于强制</w:t>
      </w:r>
      <w:r>
        <w:rPr>
          <w:rFonts w:hint="eastAsia" w:ascii="仿宋" w:hAnsi="仿宋" w:eastAsia="仿宋" w:cs="Calibri"/>
          <w:color w:val="auto"/>
          <w:sz w:val="24"/>
          <w:szCs w:val="24"/>
          <w:lang w:val="en-US" w:eastAsia="zh-CN"/>
        </w:rPr>
        <w:t xml:space="preserve">节能</w:t>
      </w:r>
      <w:r>
        <w:rPr>
          <w:rFonts w:hint="eastAsia" w:ascii="仿宋" w:hAnsi="仿宋" w:eastAsia="仿宋" w:cs="Calibri"/>
          <w:color w:val="auto"/>
          <w:sz w:val="24"/>
          <w:szCs w:val="24"/>
          <w:lang w:val="en-US" w:eastAsia="zh"/>
        </w:rPr>
        <w:t xml:space="preserve">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七</w:t>
      </w:r>
      <w:r>
        <w:rPr>
          <w:rFonts w:hint="eastAsia" w:ascii="仿宋" w:hAnsi="仿宋" w:eastAsia="仿宋" w:cs="Calibri"/>
          <w:color w:val="auto"/>
          <w:sz w:val="24"/>
          <w:szCs w:val="24"/>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八</w:t>
      </w:r>
      <w:r>
        <w:rPr>
          <w:rFonts w:hint="eastAsia" w:ascii="仿宋" w:hAnsi="仿宋" w:eastAsia="仿宋" w:cs="Calibri"/>
          <w:color w:val="auto"/>
          <w:sz w:val="24"/>
          <w:szCs w:val="24"/>
          <w:lang w:val="en-US" w:eastAsia="zh"/>
        </w:rPr>
        <w:t xml:space="preserve">）采购本国货物、工程和服务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政府采购应当采购本国货物、工程和服务，但有《中华人民共和国政府采购法》第十条规定情形的除外。</w:t>
      </w:r>
      <w:r/>
    </w:p>
    <w:p>
      <w:pPr>
        <w:numPr>
          <w:ilvl w:val="0"/>
          <w:numId w:val="1"/>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w:t>
      </w:r>
      <w:r/>
    </w:p>
    <w:p>
      <w:pPr>
        <w:ind w:left="480" w:firstLine="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、项目实施要求</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投标人针对本项目提供详细的项目实施方案，内容包括但不限于：整体实施方案、网络机房与综合布线系统深化方案、安防系统深化方案、信息安全防护方案、</w:t>
      </w:r>
      <w:r>
        <w:rPr>
          <w:rFonts w:hint="eastAsia" w:ascii="仿宋" w:hAnsi="仿宋" w:eastAsia="仿宋" w:cs="仿宋"/>
          <w:color w:val="auto"/>
          <w:sz w:val="24"/>
          <w:szCs w:val="24"/>
          <w:lang w:val="en-US" w:eastAsia="zh-CN"/>
        </w:rPr>
        <w:t xml:space="preserve">智慧档案馆库深化方案</w:t>
      </w:r>
      <w:r>
        <w:rPr>
          <w:rFonts w:hint="eastAsia" w:ascii="仿宋" w:hAnsi="仿宋" w:eastAsia="仿宋" w:cs="Calibri"/>
          <w:color w:val="auto"/>
          <w:sz w:val="24"/>
          <w:szCs w:val="24"/>
          <w:lang w:val="en-US" w:eastAsia="zh-CN"/>
        </w:rPr>
        <w:t xml:space="preserve">、风险预防及控制方案等。</w:t>
      </w:r>
      <w:r/>
    </w:p>
    <w:p>
      <w:pPr>
        <w:ind w:firstLine="480"/>
        <w:keepLines w:val="0"/>
        <w:keepNext w:val="0"/>
        <w:pageBreakBefore w:val="0"/>
        <w:spacing w:line="540" w:lineRule="exact"/>
        <w:widowControl w:val="off"/>
        <w:rPr>
          <w:rFonts w:hint="eastAsia" w:ascii="仿宋" w:hAnsi="仿宋" w:eastAsia="仿宋" w:cs="Calibri"/>
          <w:color w:val="auto"/>
          <w:sz w:val="24"/>
          <w:szCs w:val="24"/>
          <w:lang w:bidi="ar-SA"/>
        </w:rPr>
        <w:outlineLvl w:val="2"/>
      </w:pPr>
      <w:r>
        <w:rPr>
          <w:rFonts w:hint="eastAsia" w:ascii="仿宋" w:hAnsi="仿宋" w:eastAsia="仿宋" w:cs="Calibri"/>
          <w:color w:val="auto"/>
          <w:sz w:val="24"/>
          <w:szCs w:val="24"/>
          <w:lang w:val="en-US" w:eastAsia="zh-CN"/>
        </w:rPr>
        <w:t xml:space="preserve">1、整体实施方案</w:t>
      </w:r>
      <w:r/>
    </w:p>
    <w:p>
      <w:pPr>
        <w:ind w:firstLine="480"/>
        <w:keepLines w:val="0"/>
        <w:keepNext w:val="0"/>
        <w:pageBreakBefore w:val="0"/>
        <w:spacing w:line="440" w:lineRule="exact"/>
        <w:widowControl w:val="off"/>
        <w:rPr>
          <w:rFonts w:hint="eastAsia" w:ascii="仿宋" w:hAnsi="仿宋" w:eastAsia="仿宋" w:cs="Calibri"/>
          <w:color w:val="auto"/>
          <w:sz w:val="24"/>
          <w:szCs w:val="24"/>
          <w:lang w:eastAsia="zh-CN" w:bidi="ar-SA"/>
        </w:rPr>
      </w:pPr>
      <w:r>
        <w:rPr>
          <w:rFonts w:hint="eastAsia" w:ascii="仿宋" w:hAnsi="仿宋" w:eastAsia="仿宋" w:cs="Calibri"/>
          <w:color w:val="auto"/>
          <w:sz w:val="24"/>
          <w:szCs w:val="24"/>
          <w:lang w:bidi="ar-SA"/>
        </w:rPr>
        <w:t xml:space="preserve">时间进度安排（进度计划、进度计划保障措施、有明确的时间节点和应急安排等确保按期交付使用）</w:t>
      </w:r>
      <w:r>
        <w:rPr>
          <w:rFonts w:hint="eastAsia" w:ascii="仿宋" w:hAnsi="仿宋" w:eastAsia="仿宋" w:cs="Calibri"/>
          <w:color w:val="auto"/>
          <w:sz w:val="24"/>
          <w:szCs w:val="24"/>
          <w:lang w:eastAsia="zh-CN" w:bidi="ar-SA"/>
        </w:rPr>
        <w:t xml:space="preserve">。</w:t>
      </w:r>
      <w:r/>
    </w:p>
    <w:p>
      <w:pPr>
        <w:ind w:firstLine="480"/>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系统应急方案（风险分析及应对措施、运行保障体系等）。</w:t>
      </w:r>
      <w:r/>
    </w:p>
    <w:p>
      <w:pPr>
        <w:ind w:firstLine="480"/>
        <w:jc w:val="left"/>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val="en-US" w:eastAsia="zh-CN" w:bidi="ar-SA"/>
        </w:rPr>
        <w:t xml:space="preserve">实施方案</w:t>
      </w:r>
      <w:r>
        <w:rPr>
          <w:rFonts w:hint="eastAsia" w:ascii="仿宋" w:hAnsi="仿宋" w:eastAsia="仿宋" w:cs="Calibri"/>
          <w:color w:val="auto"/>
          <w:sz w:val="24"/>
          <w:szCs w:val="24"/>
          <w:lang w:bidi="ar-SA"/>
        </w:rPr>
        <w:t xml:space="preserve">，包括但不限于：对</w:t>
      </w:r>
      <w:r>
        <w:rPr>
          <w:rFonts w:hint="eastAsia" w:ascii="仿宋" w:hAnsi="仿宋" w:eastAsia="仿宋" w:cs="Calibri"/>
          <w:color w:val="auto"/>
          <w:sz w:val="24"/>
          <w:szCs w:val="24"/>
          <w:lang w:val="en-US" w:eastAsia="zh-CN" w:bidi="ar-SA"/>
        </w:rPr>
        <w:t xml:space="preserve">档案馆智能化</w:t>
      </w:r>
      <w:r>
        <w:rPr>
          <w:rFonts w:hint="eastAsia" w:ascii="仿宋" w:hAnsi="仿宋" w:eastAsia="仿宋" w:cs="Calibri"/>
          <w:color w:val="auto"/>
          <w:sz w:val="24"/>
          <w:szCs w:val="24"/>
          <w:lang w:bidi="ar-SA"/>
        </w:rPr>
        <w:t xml:space="preserve">系统现状、部署情况、应用情况提供理解并全面分析，</w:t>
      </w:r>
      <w:r>
        <w:rPr>
          <w:rFonts w:hint="eastAsia" w:ascii="仿宋" w:hAnsi="仿宋" w:eastAsia="仿宋" w:cs="Calibri"/>
          <w:color w:val="auto"/>
          <w:sz w:val="24"/>
          <w:szCs w:val="24"/>
          <w:lang w:val="en-US" w:eastAsia="zh-CN" w:bidi="ar-SA"/>
        </w:rPr>
        <w:t xml:space="preserve">对档案馆改扩建</w:t>
      </w:r>
      <w:r>
        <w:rPr>
          <w:rFonts w:hint="eastAsia" w:ascii="仿宋" w:hAnsi="仿宋" w:eastAsia="仿宋" w:cs="Calibri"/>
          <w:color w:val="auto"/>
          <w:sz w:val="24"/>
          <w:szCs w:val="24"/>
          <w:lang w:bidi="ar-SA"/>
        </w:rPr>
        <w:t xml:space="preserve">提供详细设计方案，包括但不限于项目背景、需求分析、项目定位、建设目标、建设思路、建设依据、建设原则、建设内容、技术路线选择。</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项目质量及实施管理，</w:t>
      </w:r>
      <w:r>
        <w:rPr>
          <w:rFonts w:hint="eastAsia" w:ascii="仿宋" w:hAnsi="仿宋" w:eastAsia="仿宋" w:cs="仿宋"/>
          <w:color w:val="auto"/>
          <w:sz w:val="24"/>
          <w:szCs w:val="24"/>
        </w:rPr>
        <w:t xml:space="preserve">投标人针对本项目提供详细的质量保证方案，内容包括但不限于：在制造过程中，制造商应严格遵循相关的技术规范和工艺流程，确保每个制造环节都符合质量控制要求。严格的质量控制：对每个生产环节进行质量检查和控制，确保每个环节都符合质量标准，包括进货检验、过程检验和最终检验。</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安装施工现场要求：投标人应自行组织现场勘察，针对本项目提供详细的安装现场管理、安装及调试方案、人员的职责架构及分工、项目管理运行机制等；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为一项涉及多项信息系统集成的项目，需成立项目管理小组，并组建人数不少于4人的项目团队，中标方委派项目负责人及成员具备相关信息系统项目管理、网络规划及综合布线、软件、信息设备安装调试等专业技术能力，配备如下：</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①项目负责人1名，应具备丰富的系统集成项目管理经验，负责项目的总体实施管理工作，与用户负责人建立沟通联系，承担项目总体进度把控、计划制定、智能密集架联调、服务器配置等各项工作。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②系统规划与管理、数据库系统工程、网络工程等专业技术人员3名，负责平台集成调试、智能密集架控制软件的优化调试，机房设备、网络设备、安防设备、智能设备、信息安全设备的安装调试，网络综合架设等技术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③中标供应商应对安装施工安全、进度、质量全面负责、保障系统正常运行，并承担设备保护，如因中标供应商原因造成设计规划不合理、安全事故、质量事故、设备损坏等，中标方应承担一切经济法律责任。</w:t>
      </w:r>
      <w:r/>
    </w:p>
    <w:p>
      <w:pPr>
        <w:ind w:firstLine="480"/>
        <w:keepLines w:val="0"/>
        <w:keepNext w:val="0"/>
        <w:pageBreakBefore w:val="0"/>
        <w:spacing w:line="4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2、网络机房与综合布线系统深化方案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中心机房建设方案:根据需求进行机房布局深化设计，提供设计图纸，图纸须契合现场，满足实际施工需求。至少包含以下图纸：机房总布局图、配电柜系统图、机房防雷接地系统、新风系统布置图、动力环境监控系统图、综合布线系统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机房设备迁移方案：供应商提供机房</w:t>
      </w:r>
      <w:r>
        <w:rPr>
          <w:rFonts w:hint="eastAsia" w:ascii="仿宋" w:hAnsi="仿宋" w:eastAsia="仿宋" w:cs="仿宋"/>
          <w:color w:val="auto"/>
          <w:sz w:val="24"/>
          <w:szCs w:val="24"/>
          <w:lang w:val="en-US" w:eastAsia="zh-CN"/>
        </w:rPr>
        <w:t xml:space="preserve">设备迁移完整方案及相关配套资料，方案须契合现场实际情况、设备特性及业务连续运行要求，涵盖迁移整体流程计划、设备转运、系统配置调试及业务恢复、全量数据备份及验证、迁移应急处置等内容，明确施工人员、设备防护、数据安全、工期管控等具体要求及未达标处理方式，同时明确迁移过程中若出现迁移失败、设备损坏、数据丢失等情况的故障修复、损失及重新迁移等处理措施，满足实际迁移施工、安全管控及验收交付需求。至少包含以下内容：迁移整体流程计划、设备转运方案、系统配置调试及业务恢复方案、全量数据备份及验证方案、迁移过程应急处置预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迁移数据安全需求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了保障业务数据的安全性，要求搬迁前对关键业务数据做好风险分析，制定风险应对措施，按需准备应急备品备件，做好业务系统和数据的备份，不得造成数据丢失。如果备份失败，必须重新备份，直到备份成功再停止业务系统对外服务（关闭互联网、专网路由器，关闭用户接入交换机），同时搬迁过程中应保管好硬盘，以免硬盘损坏导致数据丢失。安装调试过程中，若出现系统瘫痪、数据丢失等意外情况，应及时完成环境搭建和数据恢复，保证数据迁移后完整性、安全性、一致性。</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迁移保障需求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在系统搬迁完成后，为保障系统顺利运行，需提供技术支持服务。主要服务内容包括：</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设备软、硬件维修：发现设备软、硬件故障，协助报修；配合厂商完成维修工作；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处理临时技术服务：临时故障处理；网络配置变更；系统配置变更；系统补丁安装。</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网络综合布线系统：包含档案馆整体网络建设规划、网络设备运维管理设计、库房内和办公区域网络点位布局、网络通信光缆建设规划、汇聚节点网络互联规划等方面进行深化设计并提供设计图及设计理念描述。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3、安防系统深化方案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安防监控系统：根据实际场景需求进行深化，并提供详细点位布局图、监控网络设备组网规划、监控中心设备布局图、与原档案馆监控对接方案等。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应急广播系统：根据档案馆环境实际需求对档案馆公共区域、库房区域广播进行深化设计，提供详细点位布局图及设计理念描述。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应急报警系统：根据档案馆实际需求，提供详细点位布局图及设计理念描述，明确一键报警终端的安装位置，并提供点位布置图、系统拓扑图。</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门禁管理系统：根据档案馆实际需求，针对库房出入口、办公室等关键区域进行深化设计，提供详细点位布局图、系统拓扑图及设计理念描述。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4、信息安全防护方案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信息安全防护方案：应依据《信息安全技术网络安全等级保护基本要求》及相关行业规范，结合档案馆的实际业务场景、安全需求，严格满足三级等保要求，提供档案馆整体信息安全防护设计方案。确保方案科学合规、切实可行、贴合需求，方案需全面覆盖以下三项核心内容：安全防护方案、设备安装调试方案、应急处置方案。各模块内容完整、逻辑严谨、技术参数规范，符合国家及行业信息安全相关标准，具备极强的可操作性、落地性及可扩展性，能够有效解决项目实际安全痛点，构建全方位、多层次、可落地的信息安全防护体系。</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5、智慧档案馆库深化方案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智慧档案</w:t>
      </w:r>
      <w:r>
        <w:rPr>
          <w:rFonts w:hint="eastAsia" w:ascii="仿宋" w:hAnsi="仿宋" w:eastAsia="仿宋" w:cs="仿宋"/>
          <w:color w:val="auto"/>
          <w:sz w:val="24"/>
          <w:szCs w:val="24"/>
          <w:lang w:val="en-US" w:eastAsia="zh-CN" w:bidi="ar-SA"/>
        </w:rPr>
        <w:t xml:space="preserve">馆库</w:t>
      </w:r>
      <w:r>
        <w:rPr>
          <w:rFonts w:hint="eastAsia" w:ascii="仿宋" w:hAnsi="仿宋" w:eastAsia="仿宋" w:cs="仿宋"/>
          <w:color w:val="auto"/>
          <w:sz w:val="24"/>
          <w:szCs w:val="24"/>
          <w:lang w:val="en-US" w:eastAsia="zh-CN"/>
        </w:rPr>
        <w:t xml:space="preserve">一体化方案：根据档案馆库房建设的实际需求，提供库房环境监控子系统、库房安全防范系统、智能密集架系统、实体档案管理系统、RFID系统、孪生系统的设计方案，方案包括建设内容、平台与各子系统架构、密集架安装布局、十防设备点位安装要求等。方案需提供密集架安装布局图、库房综合布线系统图、库房十防设备点位图、平台系统架构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6、风险预防及控制方案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风险预防措施：对档案馆建设各阶段工作内容和要求，详细分析实施过程中可能出现的各类风险，制定完善的风险管理策略。</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所有深化设计方案中：方案应包含详细设计图纸，中标后提供.dwg格式原件备案，图纸比例统一。</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en-US" w:eastAsia="zh-CN"/>
        </w:rPr>
        <w:t xml:space="preserve">售后服务要求</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投标人针对本项目提供详细的售后服务方案，内容包含但不限于：</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（1）售后服务</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项目全周期售后服务方案：本项目要求售后服务期</w:t>
      </w:r>
      <w:r>
        <w:rPr>
          <w:rFonts w:hint="eastAsia" w:cs="Calibri"/>
          <w:color w:val="auto"/>
          <w:sz w:val="24"/>
          <w:szCs w:val="24"/>
          <w:lang w:val="en-US" w:eastAsia="zh-CN"/>
        </w:rPr>
        <w:t xml:space="preserve">3年，</w:t>
      </w:r>
      <w:r>
        <w:rPr>
          <w:rFonts w:hint="eastAsia" w:ascii="仿宋" w:hAnsi="仿宋" w:eastAsia="仿宋" w:cs="Calibri"/>
          <w:color w:val="auto"/>
          <w:sz w:val="24"/>
          <w:szCs w:val="24"/>
          <w:lang w:val="en-US" w:eastAsia="zh-CN"/>
        </w:rPr>
        <w:t xml:space="preserve">售后服务期内对产品质量实行三包，免费为本项目采购的所有产品提供维修、保养、替换故障部件等服务。此</w:t>
      </w:r>
      <w:r>
        <w:rPr>
          <w:rFonts w:hint="eastAsia" w:ascii="仿宋" w:hAnsi="仿宋" w:eastAsia="仿宋" w:cs="Calibri"/>
          <w:color w:val="auto"/>
          <w:sz w:val="24"/>
          <w:szCs w:val="24"/>
          <w:lang w:val="en-US" w:eastAsia="zh-CN"/>
        </w:rPr>
        <w:t xml:space="preserve">项目要求提供技术支持服务，处理用户出现的各种问题和故障，以保证用户工作的正常运行。服务内容包括设备检查、维修及定期保养，确保系统稳定运行。服务措施包括专业技术团队快速抵达客户现场进行故障诊断与处理，确保问题得到及时解决；服务响应要求在售后服务期内，要求提供全天候的技术支持与远程协助，并保障明确的响应时间，在接到报修后2小时内初步响应，24小时内提供解决方案。售后服务期满后，持续提供技术支持与维护服务，能售后服务期满后，提供多种延续服务方案，包括延保服务、备件供应及预防性保养计划，全面保障设备的长期可靠使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维护团队具备丰富的经验与专业能力，由工程师和技术专家组成的专业团队，提供7x24小时全天候技术支持，团队成员均具备项目售后服务的技术能力和经验，确保快速、高效地解决各类问题，保障服务质量。</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售后服务期满后，投标人仍有义务提供优惠的技术服务（包括提供设备维护、备件等）。</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售后服务期满后主要产品、配件优惠方案：售后服务期结束后，投标人应当提供保修服务，收取费用不得高于其他服务客户的费用。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投标人未在上述规定时间内履行售后服务义务的，采购人可选择是否委托第三方代为处理，由此产生的费用及损失均由投标人承担。</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采购需求清单中涉及软件产品的，采购方享有软件永久使用权，其中馆库一体化平台软件系统享受原有厂家发行的最新版本同步免费升级权限。</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针对可能发生的紧急情况，如系统故障或安全事件，制定详细的应急响应流程，包括事件识别、上报机制、资源调度和恢复措施，确保在最短时间内最小化影响，并保持沟通透明。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（2）培训及技术支持要求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投标人结合用户实际情况，在安装过程中或安装结束后，对采购人和操作人员进行操作培训并提供操作指南说明。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提供全面的培训计划，包括基础操作、高级功能和维护保养培训，通过现场指导、在线课程和详细文档支持，帮助用户快速掌握系统使用，提升自主管理能力，确保项目长期成功运营。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培训目的：通过对用户的培训，使其对设备的使用、操作、维护进行培训，并提供安装使用维护说明书，以确保使用单位能够对设备有足够的了解，能够独立进行日常操作、管理和维护。</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培训时间：投标人完成供货并交付用户使用之日起两周内对用户完成培训。交付使用1个月后投标人须派遣专业技术人员到工作现场，对用户各种技术问题和使用进行现场指导和培训。</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内容：本项目重点培训设备的安装调试、备件更换、数据维护、故障诊断等内容。培训模块将包括理论讲解、实际操作演示和案例分析，例如设备组装流程、备件识别与替换方法、数据备份与恢复策略以及常见故障的排查与解决技巧。通过互动式学习，增强学员的实战能力和问题处理效率。</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培训对象：针对实际工作和业务需要，本次培训对象主要</w:t>
      </w:r>
      <w:r>
        <w:rPr>
          <w:rFonts w:hint="eastAsia" w:cs="Calibri"/>
          <w:color w:val="auto"/>
          <w:sz w:val="24"/>
          <w:szCs w:val="24"/>
          <w:lang w:val="en-US" w:eastAsia="zh-CN"/>
        </w:rPr>
        <w:t xml:space="preserve">为</w:t>
      </w:r>
      <w:r>
        <w:rPr>
          <w:rFonts w:hint="eastAsia" w:ascii="仿宋" w:hAnsi="仿宋" w:eastAsia="仿宋" w:cs="Calibri"/>
          <w:color w:val="auto"/>
          <w:sz w:val="24"/>
          <w:szCs w:val="24"/>
          <w:lang w:val="en-US" w:eastAsia="zh-CN"/>
        </w:rPr>
        <w:t xml:space="preserve">设备管理员，涵盖设备安装调试、备件更换、数据维护等关键操作岗位的人员。这些人员负责日常设备的运行和维护，培训旨在提升他们的专业技能和操作水平，以确保系统稳定性和工作效率。具体包括新入职员工和有经验人员的培训，以满足不同层次的需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培训地点：同交货地点。</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培训方式及课时安排：培训时间每次1至2天，具体根据采购单位待培训人员总数情况确定。培训以最小化对日常工作的影响，并可灵活调整次数和时长，确保所有相关人员都能参与并受益。</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培训教材：免费提供培训教材纸质版或电子版（含使用手册）等。</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rPr>
        <w:outlineLvl w:val="1"/>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平台</w:t>
      </w:r>
      <w:r>
        <w:rPr>
          <w:rFonts w:hint="eastAsia" w:ascii="宋体" w:hAnsi="宋体" w:eastAsia="宋体" w:cs="宋体"/>
          <w:b/>
          <w:color w:val="auto"/>
          <w:sz w:val="24"/>
          <w:szCs w:val="24"/>
          <w:highlight w:val="none"/>
          <w:lang w:val="en-US" w:eastAsia="zh-CN"/>
        </w:rPr>
        <w:t xml:space="preserve">对接</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智慧档案馆库一体化管理平台、智能物联综合管理平台、能耗监测平台需实现无缝对接，打造统一管理界面，实现一个页面集中管控。明确三大平台数据互通标准、接口对接规范，确保各平台数据实时同步、功能联动，可在统一页面完成所有平台的操作、监控、数据查询及管控，简化运维流程，提升管理效率，贴合档案馆智能化管理需求。</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bidi="ar-SA"/>
        </w:rPr>
        <w:outlineLvl w:val="1"/>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en-US" w:eastAsia="zh-CN"/>
        </w:rPr>
        <w:t xml:space="preserve">、功能演示</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1、采购清单中技术要求前标有“☆☆”的技术参数（共10条），投标人需提供产品功能演示视频，投标人提交的产品演示视频（含功能演示、参数实测、操作展示等），需与实际所投产品技术参数、功能一致。</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2.供应商报价时应充分考虑所有可能影响到报价的因素，一旦招标结束最终成交，总价将包定，不予调整。如发生漏、缺、少项，都将被认为是成交供应商的报价让利行为，损失自负。</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lang w:val="en-US" w:eastAsia="zh-CN"/>
        </w:rPr>
        <w:t xml:space="preserve">图纸文件：</w:t>
      </w:r>
      <w:r>
        <w:rPr>
          <w:rFonts w:hint="eastAsia" w:ascii="仿宋" w:hAnsi="仿宋" w:eastAsia="仿宋" w:cs="Calibri"/>
          <w:b/>
          <w:bCs/>
          <w:color w:val="auto"/>
          <w:sz w:val="24"/>
          <w:szCs w:val="24"/>
          <w:u w:val="single"/>
          <w:lang w:val="en-US" w:eastAsia="zh-CN"/>
        </w:rPr>
        <w:t xml:space="preserve"> 通过网盘分享的文件：智能化图纸文件.rar</w:t>
      </w:r>
      <w:r/>
    </w:p>
    <w:p>
      <w:pPr>
        <w:ind w:firstLine="482"/>
        <w:keepLines w:val="0"/>
        <w:keepNext w:val="0"/>
        <w:pageBreakBefore w:val="0"/>
        <w:spacing w:line="540" w:lineRule="exact"/>
        <w:widowControl w:val="off"/>
        <w:rPr>
          <w:rFonts w:hint="default"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t xml:space="preserve">链接: https://pan.baidu.com/s/1gOxDj3kYyEcYW8w5GO25Mw?pwd=DATZ 提取码: DATZ</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r>
      <w:r/>
    </w:p>
    <w:p>
      <w:pPr>
        <w:rPr>
          <w:rFonts w:hint="eastAsia" w:ascii="仿宋" w:hAnsi="仿宋" w:eastAsia="仿宋" w:cs="Calibri"/>
          <w:b/>
          <w:bCs/>
          <w:color w:val="auto"/>
          <w:sz w:val="24"/>
          <w:szCs w:val="24"/>
          <w:u w:val="none"/>
          <w:lang w:val="en-US" w:eastAsia="zh-CN"/>
        </w:rPr>
      </w:pPr>
      <w:r/>
      <w:bookmarkStart w:id="146" w:name="_GoBack"/>
      <w:r/>
      <w:bookmarkEnd w:id="146"/>
      <w:r>
        <w:rPr>
          <w:rFonts w:hint="eastAsia" w:ascii="仿宋" w:hAnsi="仿宋" w:eastAsia="仿宋" w:cs="Calibri"/>
          <w:b/>
          <w:bCs/>
          <w:color w:val="auto"/>
          <w:sz w:val="24"/>
          <w:szCs w:val="24"/>
          <w:u w:val="none"/>
          <w:lang w:val="en-US" w:eastAsia="zh-CN"/>
        </w:rPr>
        <w:br w:type="page" w:clear="all"/>
      </w:r>
      <w:r/>
    </w:p>
    <w:p>
      <w:pPr>
        <w:keepLines w:val="0"/>
        <w:keepNext w:val="0"/>
        <w:pageBreakBefore w:val="0"/>
        <w:spacing w:line="540" w:lineRule="exact"/>
        <w:widowControl w:val="off"/>
        <w:rPr>
          <w:rFonts w:hint="eastAsia" w:ascii="仿宋" w:hAnsi="仿宋" w:eastAsia="仿宋" w:cs="Calibri"/>
          <w:b/>
          <w:bCs/>
          <w:color w:val="auto"/>
          <w:sz w:val="24"/>
          <w:szCs w:val="24"/>
          <w:u w:val="none"/>
          <w:lang w:val="en-US" w:eastAsia="zh-CN"/>
        </w:rPr>
      </w:pPr>
      <w:r>
        <w:rPr>
          <w:rFonts w:hint="eastAsia" w:ascii="仿宋" w:hAnsi="仿宋" w:eastAsia="仿宋" w:cs="Calibri"/>
          <w:b/>
          <w:bCs/>
          <w:color w:val="auto"/>
          <w:sz w:val="24"/>
          <w:szCs w:val="24"/>
          <w:u w:val="none"/>
          <w:lang w:val="en-US" w:eastAsia="zh-CN"/>
        </w:rPr>
        <w:t xml:space="preserve">附件：</w:t>
      </w:r>
      <w:r/>
    </w:p>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pPr>
      <w:r>
        <w:rPr>
          <w:rFonts w:hint="default" w:ascii="仿宋" w:hAnsi="仿宋" w:eastAsia="仿宋" w:cs="Calibri"/>
          <w:b/>
          <w:bCs/>
          <w:color w:val="auto"/>
          <w:sz w:val="24"/>
          <w:szCs w:val="24"/>
          <w:u w:val="none"/>
          <w:lang w:val="en-US" w:eastAsia="zh-CN"/>
        </w:rPr>
      </w:r>
      <w:r/>
    </w:p>
    <w:tbl>
      <w:tblPr>
        <w:tblStyle w:val="7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2406"/>
        <w:gridCol w:w="3011"/>
        <w:gridCol w:w="1193"/>
        <w:gridCol w:w="1205"/>
      </w:tblGrid>
      <w:tr>
        <w:trPr>
          <w:trHeight w:val="27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仿宋" w:hAnsi="仿宋" w:eastAsia="仿宋" w:cs="Calibri"/>
                <w:b/>
                <w:bCs/>
                <w:color w:val="auto"/>
                <w:sz w:val="24"/>
                <w:szCs w:val="24"/>
                <w:u w:val="none"/>
                <w:lang w:val="en-US" w:eastAsia="zh-CN"/>
              </w:rPr>
              <w:t xml:space="preserve">迁移设备清单</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货品名称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品牌、型号、产地</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艾特网能CM030DA标准型-恒温恒湿、深圳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气体灭火装置</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配套设备</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监控探头</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海康威视200W，杭州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诺显NX-P3000、安徽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拼接屏支架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诺显NX-J、安徽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诺显NX-C0412、安徽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线缆配件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诺显HDMI2.0、安徽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信锐、SI-MA-EWA-PFD-AC-P6-D485、深圳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市电开关监测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蓄电池监测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信锐、SI-BA-DTS-12V</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数据网关</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LBS-1000-2L</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采集主机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信锐、SI-DAS-M2500、深圳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信锐、WS-TH-01-L、深圳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烟雾传感器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信锐、JTY-GD-T12、深圳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信锐、SI-WLD-CT-M0-ASD、深圳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漏水检测线</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信锐、SI-WLD-CAB-M0-5M、深圳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空调协议对接</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智能管理系统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信锐、NAC-6100-IOT、深圳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容灾、备份一体机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BCM2012、南京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SG3000-TE52P、北京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DAS-A150、杭州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运维审计（堡垒机）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DAS-USM150、杭州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DPM2008、南京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 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 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上网行为管理</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 NI3200-30、北京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光盘库</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清华同方 TH105 、北京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图腾 G36042、昆山</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防病毒系统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360天擎终端安全管理系统V6.0、北京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中标麒麟V7.0（X86-64）、上海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K-DB数据库系统 V11、山东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虚拟化软件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浪潮incloudshpere、山东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格式转换中间件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永中 文档预览软件v3.0、无锡</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OCR识别中间件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PDF文件防扩散系统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馆藏档案综合管理平台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宝葫芦数字档案室综合管理平台V7.0、合肥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自主查阅一体机系统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宝葫芦档案自助查阅一体机系统V1.0、合肥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电子数据检测系统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宝葫芦电子数据检测系统V1.0、合肥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数字档案室系统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宝葫芦数字档案室管理信息系统V6.0、合肥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电子文件中心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宝葫芦电子文件管理中心系统V1.0、合肥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民生档案远程查询平台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宝葫芦民生档案自助查询系统V1.0、合肥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档案馆办公系统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宝葫芦协同办公管理平台V1.0、合肥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公众网（互联网）信息采集系统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宝葫芦互联网信息采集管理系统V2.0、合肥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微信公众服务平台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宝葫芦档案馆微信服务平台V2.0、合肥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长久保存系统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宝葫芦智能档案保管平台V1.0、合肥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电子政务接入防火墙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档案馆专用核心交换机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外网路由器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DCN;DCR-2655</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网康科技;N13230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信息通讯网关</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H3C;H3C ICG3000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服务器1</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联想;联想</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联想;EMC VNXe3150 DPE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艾默生;DME12MCP1</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UPS输入输出配电柜</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科华技术;E-AD250A</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科华技术;FR-UK3120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消防自动报警系统主机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北大青鸟；JB-TG-JBF-11SF</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p>
        </w:tc>
      </w:tr>
    </w:tbl>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仿宋" w:hAnsi="仿宋" w:eastAsia="仿宋" w:cs="Calibri"/>
          <w:b/>
          <w:bCs/>
          <w:color w:val="auto"/>
          <w:sz w:val="24"/>
          <w:szCs w:val="24"/>
          <w:u w:val="none"/>
          <w:lang w:val="en-US" w:eastAsia="zh-CN"/>
        </w:rPr>
      </w:r>
      <w:r/>
    </w:p>
    <w:p>
      <w:pPr>
        <w:pStyle w:val="1005"/>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0"/>
      <w:r/>
      <w:bookmarkEnd w:id="121"/>
      <w:r/>
      <w:bookmarkEnd w:id="122"/>
      <w:r/>
      <w:bookmarkEnd w:id="123"/>
      <w:r/>
      <w:r/>
    </w:p>
    <w:p>
      <w:pPr>
        <w:pStyle w:val="952"/>
        <w:jc w:val="center"/>
        <w:spacing w:line="440" w:lineRule="exact"/>
        <w:rPr>
          <w:rFonts w:hint="eastAsia" w:ascii="宋体" w:eastAsia="宋体" w:cs="宋体"/>
          <w:b/>
          <w:bCs/>
          <w:color w:val="auto"/>
          <w:spacing w:val="-20"/>
          <w:sz w:val="24"/>
          <w:szCs w:val="24"/>
          <w:highlight w:val="none"/>
          <w:lang w:bidi="ar-SA"/>
        </w:rPr>
      </w:pPr>
      <w:r/>
      <w:bookmarkStart w:id="124" w:name="_Toc19649"/>
      <w:r/>
      <w:bookmarkEnd w:id="124"/>
      <w:r/>
      <w:bookmarkStart w:id="125" w:name="_Toc81575170"/>
      <w:r/>
      <w:bookmarkEnd w:id="125"/>
      <w:r/>
      <w:bookmarkStart w:id="126" w:name="_Toc81575207"/>
      <w:r/>
      <w:bookmarkEnd w:id="126"/>
      <w:r>
        <w:rPr>
          <w:rFonts w:hint="eastAsia" w:ascii="宋体" w:eastAsia="宋体" w:cs="宋体"/>
          <w:color w:val="auto"/>
          <w:sz w:val="24"/>
          <w:szCs w:val="24"/>
          <w:highlight w:val="none"/>
          <w:lang w:bidi="ar-SA"/>
        </w:rPr>
        <w:t xml:space="preserve"> </w:t>
      </w:r>
      <w:r/>
    </w:p>
    <w:p>
      <w:pPr>
        <w:pStyle w:val="779"/>
        <w:jc w:val="center"/>
        <w:rPr>
          <w:rFonts w:ascii="宋体" w:hAnsi="宋体" w:eastAsia="宋体" w:cs="宋体"/>
          <w:b/>
          <w:bCs/>
          <w:color w:val="auto"/>
          <w:spacing w:val="-20"/>
          <w:sz w:val="32"/>
          <w:szCs w:val="32"/>
        </w:rPr>
      </w:pPr>
      <w:r/>
      <w:bookmarkStart w:id="127" w:name="_Toc20257"/>
      <w:r/>
      <w:bookmarkStart w:id="128" w:name="_Toc176774462"/>
      <w:r>
        <w:rPr>
          <w:rFonts w:hint="eastAsia" w:ascii="宋体" w:hAnsi="宋体" w:eastAsia="宋体" w:cs="宋体"/>
          <w:b/>
          <w:bCs/>
          <w:color w:val="auto"/>
          <w:spacing w:val="-20"/>
          <w:sz w:val="32"/>
          <w:szCs w:val="32"/>
        </w:rPr>
        <w:t xml:space="preserve">财政部 政府采购货物买卖合同（试行）</w:t>
      </w:r>
      <w:r/>
    </w:p>
    <w:p>
      <w:pPr>
        <w:pStyle w:val="779"/>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2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甲    方：</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rPr>
      </w:r>
      <w:r/>
    </w:p>
    <w:p>
      <w:pPr>
        <w:pStyle w:val="766"/>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400" w:lineRule="exact"/>
        <w:rPr>
          <w:rFonts w:ascii="黑体" w:hAnsi="华文中宋" w:eastAsia="黑体"/>
          <w:b w:val="0"/>
          <w:bCs w:val="0"/>
          <w:color w:val="auto"/>
          <w:sz w:val="28"/>
          <w:szCs w:val="28"/>
        </w:rPr>
        <w:outlineLvl w:val="9"/>
      </w:pPr>
      <w:r>
        <w:rPr>
          <w:rFonts w:ascii="黑体" w:hAnsi="华文中宋" w:eastAsia="黑体"/>
          <w:b w:val="0"/>
          <w:bCs w:val="0"/>
          <w:color w:val="auto"/>
          <w:sz w:val="28"/>
          <w:szCs w:val="28"/>
        </w:rPr>
      </w:r>
      <w:r/>
    </w:p>
    <w:p>
      <w:pPr>
        <w:spacing w:line="400" w:lineRule="exact"/>
        <w:rPr>
          <w:rFonts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                        </w:t>
      </w:r>
      <w:r>
        <w:rPr>
          <w:rFonts w:hint="eastAsia" w:ascii="宋体" w:hAnsi="宋体"/>
          <w:color w:val="auto"/>
          <w:szCs w:val="21"/>
        </w:rPr>
        <w:t xml:space="preserve">（采购人）</w:t>
      </w:r>
      <w:r/>
    </w:p>
    <w:p>
      <w:pPr>
        <w:spacing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p>
    <w:p>
      <w:pPr>
        <w:spacing w:line="400" w:lineRule="exact"/>
        <w:rPr>
          <w:color w:val="auto"/>
        </w:rPr>
      </w:pPr>
      <w:r>
        <w:rPr>
          <w:color w:val="auto"/>
        </w:rPr>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项目信息</w:t>
      </w:r>
      <w:r/>
    </w:p>
    <w:p>
      <w:pPr>
        <w:pStyle w:val="780"/>
        <w:numPr>
          <w:ilvl w:val="0"/>
          <w:numId w:val="3"/>
        </w:numPr>
        <w:ind w:left="0" w:firstLine="420"/>
        <w:spacing w:after="0" w:line="400" w:lineRule="exact"/>
        <w:rPr>
          <w:rFonts w:ascii="宋体" w:hAnsi="宋体"/>
          <w:color w:val="auto"/>
          <w:szCs w:val="21"/>
          <w:u w:val="single"/>
        </w:rPr>
      </w:pPr>
      <w:r>
        <w:rPr>
          <w:rFonts w:hint="eastAsia" w:ascii="宋体" w:hAnsi="宋体"/>
          <w:color w:val="auto"/>
          <w:szCs w:val="21"/>
        </w:rPr>
        <w:t xml:space="preserve">采购项目名称：</w:t>
      </w:r>
      <w:r>
        <w:rPr>
          <w:rFonts w:ascii="宋体" w:hAnsi="宋体"/>
          <w:color w:val="auto"/>
          <w:szCs w:val="21"/>
          <w:u w:val="single"/>
        </w:rPr>
        <w:t xml:space="preserve">                                          </w:t>
      </w:r>
      <w:r/>
    </w:p>
    <w:p>
      <w:pPr>
        <w:pStyle w:val="780"/>
        <w:ind w:left="0"/>
        <w:spacing w:after="0" w:line="400" w:lineRule="exact"/>
        <w:tabs>
          <w:tab w:val="left" w:pos="999" w:leader="none"/>
        </w:tabs>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ind w:firstLine="420"/>
        <w:spacing w:line="400" w:lineRule="exact"/>
        <w:rPr>
          <w:rFonts w:ascii="宋体" w:hAnsi="宋体"/>
          <w:color w:val="auto"/>
          <w:szCs w:val="21"/>
        </w:rPr>
      </w:pPr>
      <w:r>
        <w:rPr>
          <w:rFonts w:hint="eastAsia" w:ascii="宋体" w:hAnsi="宋体"/>
          <w:color w:val="auto"/>
          <w:szCs w:val="21"/>
        </w:rPr>
        <w:t xml:space="preserve">（3）项目内容：</w:t>
      </w:r>
      <w:r/>
    </w:p>
    <w:p>
      <w:pPr>
        <w:ind w:firstLine="420"/>
        <w:spacing w:line="400" w:lineRule="exact"/>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 xml:space="preserve">/</w:t>
      </w:r>
      <w:r>
        <w:rPr>
          <w:rFonts w:hint="eastAsia" w:ascii="宋体" w:hAnsi="宋体"/>
          <w:color w:val="auto"/>
          <w:szCs w:val="21"/>
          <w:lang w:val="en"/>
        </w:rPr>
        <w:t xml:space="preserve">个</w:t>
      </w:r>
      <w:r>
        <w:rPr>
          <w:rFonts w:ascii="宋体" w:hAnsi="宋体"/>
          <w:color w:val="auto"/>
          <w:szCs w:val="21"/>
          <w:lang w:val="en"/>
        </w:rPr>
        <w:t xml:space="preserve">/</w:t>
      </w:r>
      <w:r>
        <w:rPr>
          <w:rFonts w:hint="eastAsia" w:ascii="宋体" w:hAnsi="宋体"/>
          <w:color w:val="auto"/>
          <w:szCs w:val="21"/>
          <w:lang w:val="en"/>
        </w:rPr>
        <w:t xml:space="preserve">架</w:t>
      </w:r>
      <w:r>
        <w:rPr>
          <w:rFonts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p>
    <w:p>
      <w:pPr>
        <w:ind w:firstLine="420"/>
        <w:spacing w:line="400" w:lineRule="exact"/>
        <w:rPr>
          <w:rFonts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p>
    <w:p>
      <w:pPr>
        <w:ind w:firstLine="945"/>
        <w:spacing w:line="400" w:lineRule="exact"/>
        <w:rPr>
          <w:rFonts w:ascii="宋体" w:hAnsi="宋体"/>
          <w:color w:val="auto"/>
          <w:szCs w:val="21"/>
          <w:u w:val="single"/>
        </w:rPr>
      </w:pPr>
      <w:r>
        <w:rPr>
          <w:rFonts w:hint="eastAsia" w:ascii="宋体" w:hAnsi="宋体"/>
          <w:color w:val="auto"/>
          <w:szCs w:val="21"/>
        </w:rPr>
        <w:t xml:space="preserve">采购标的的技术要求、商务要求具体见附件。</w:t>
      </w:r>
      <w:r/>
    </w:p>
    <w:p>
      <w:pPr>
        <w:ind w:firstLine="945"/>
        <w:spacing w:line="400" w:lineRule="exact"/>
        <w:rPr>
          <w:rFonts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 xml:space="preserve">②</w:t>
      </w:r>
      <w:r>
        <w:rPr>
          <w:rFonts w:hint="eastAsia" w:ascii="宋体" w:hAnsi="宋体" w:eastAsia="宋体" w:cs="宋体"/>
          <w:color w:val="auto"/>
          <w:sz w:val="21"/>
        </w:rPr>
        <w:t xml:space="preserve">涉及车辆采购，请填写是否属于新能源汽车：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是，《政府采购品目分类目录》底级品目名称：</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数量：</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金额：</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宋体" w:hAnsi="宋体" w:eastAsia="宋体" w:cs="宋体"/>
          <w:color w:val="auto"/>
          <w:sz w:val="21"/>
          <w:lang w:val="en"/>
        </w:rPr>
        <w:t xml:space="preserve">4</w:t>
      </w:r>
      <w:r>
        <w:rPr>
          <w:rFonts w:hint="eastAsia" w:ascii="宋体" w:hAnsi="宋体" w:eastAsia="宋体" w:cs="宋体"/>
          <w:color w:val="auto"/>
          <w:sz w:val="21"/>
        </w:rPr>
        <w:t xml:space="preserve">）政府采购组织形式：</w:t>
      </w:r>
      <w:r>
        <w:rPr>
          <w:rFonts w:ascii="Wingdings" w:hAnsi="Wingdings" w:eastAsia="Wingdings" w:cs="Wingdings"/>
          <w:color w:val="auto"/>
          <w:sz w:val="21"/>
        </w:rPr>
        <w:t xml:space="preserve">¨</w:t>
      </w:r>
      <w:r>
        <w:rPr>
          <w:rFonts w:hint="eastAsia" w:ascii="宋体" w:hAnsi="宋体" w:eastAsia="宋体" w:cs="宋体"/>
          <w:color w:val="auto"/>
          <w:sz w:val="21"/>
        </w:rPr>
        <w:t xml:space="preserve">政府集中采购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部门集中采购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分散采购</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w:t>
      </w:r>
      <w:r>
        <w:rPr>
          <w:rFonts w:ascii="宋体" w:hAnsi="宋体" w:eastAsia="宋体" w:cs="宋体"/>
          <w:color w:val="auto"/>
          <w:sz w:val="21"/>
          <w:lang w:val="en"/>
        </w:rPr>
        <w:t xml:space="preserve">5</w:t>
      </w:r>
      <w:r>
        <w:rPr>
          <w:rFonts w:hint="eastAsia" w:ascii="宋体" w:hAnsi="宋体" w:eastAsia="宋体" w:cs="宋体"/>
          <w:color w:val="auto"/>
          <w:sz w:val="21"/>
        </w:rPr>
        <w:t xml:space="preserve">）政府采购方式：</w:t>
      </w:r>
      <w:r>
        <w:rPr>
          <w:rFonts w:ascii="Wingdings" w:hAnsi="Wingdings" w:eastAsia="Wingdings" w:cs="Wingdings"/>
          <w:color w:val="auto"/>
          <w:sz w:val="21"/>
        </w:rPr>
        <w:t xml:space="preserve">¨</w:t>
      </w:r>
      <w:r>
        <w:rPr>
          <w:rFonts w:hint="eastAsia" w:ascii="宋体" w:hAnsi="宋体" w:eastAsia="宋体" w:cs="宋体"/>
          <w:color w:val="auto"/>
          <w:sz w:val="21"/>
        </w:rPr>
        <w:t xml:space="preserve">公开招标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邀请招标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竞争性谈判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竞争性磋商</w:t>
      </w:r>
      <w:r/>
    </w:p>
    <w:p>
      <w:pPr>
        <w:pStyle w:val="1036"/>
        <w:ind w:firstLine="420"/>
        <w:rPr>
          <w:rFonts w:ascii="宋体" w:hAnsi="宋体" w:eastAsia="宋体" w:cs="宋体"/>
          <w:color w:val="auto"/>
          <w:sz w:val="21"/>
          <w:u w:val="single"/>
        </w:rPr>
      </w:pPr>
      <w:r>
        <w:rPr>
          <w:rFonts w:hint="eastAsia" w:ascii="宋体" w:hAnsi="宋体" w:cs="宋体"/>
          <w:color w:val="auto"/>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询价 </w:t>
      </w:r>
      <w:r>
        <w:rPr>
          <w:rFonts w:ascii="Wingdings" w:hAnsi="Wingdings" w:eastAsia="Wingdings" w:cs="Wingdings"/>
          <w:color w:val="auto"/>
          <w:sz w:val="21"/>
        </w:rPr>
        <w:t xml:space="preserve">¨</w:t>
      </w:r>
      <w:r>
        <w:rPr>
          <w:rFonts w:hint="eastAsia" w:ascii="宋体" w:hAnsi="宋体" w:eastAsia="宋体" w:cs="宋体"/>
          <w:color w:val="auto"/>
          <w:sz w:val="21"/>
        </w:rPr>
        <w:t xml:space="preserve">单一来源 </w:t>
      </w:r>
      <w:r>
        <w:rPr>
          <w:rFonts w:ascii="Wingdings" w:hAnsi="Wingdings" w:eastAsia="Wingdings" w:cs="Wingdings"/>
          <w:color w:val="auto"/>
          <w:sz w:val="21"/>
        </w:rPr>
        <w:t xml:space="preserve">¨</w:t>
      </w:r>
      <w:r>
        <w:rPr>
          <w:rFonts w:hint="eastAsia" w:ascii="宋体" w:hAnsi="宋体" w:eastAsia="宋体" w:cs="宋体"/>
          <w:color w:val="auto"/>
          <w:sz w:val="21"/>
        </w:rPr>
        <w:t xml:space="preserve">框架协议 </w:t>
      </w:r>
      <w:r>
        <w:rPr>
          <w:rFonts w:ascii="Wingdings" w:hAnsi="Wingdings" w:eastAsia="Wingdings" w:cs="Wingdings"/>
          <w:color w:val="auto"/>
          <w:sz w:val="21"/>
        </w:rPr>
        <w:t xml:space="preserve">¨</w:t>
      </w:r>
      <w:r>
        <w:rPr>
          <w:rFonts w:hint="eastAsia" w:ascii="宋体" w:hAnsi="宋体" w:eastAsia="宋体" w:cs="宋体"/>
          <w:color w:val="auto"/>
          <w:sz w:val="21"/>
        </w:rPr>
        <w:t xml:space="preserve">其他：</w:t>
      </w:r>
      <w:r>
        <w:rPr>
          <w:rFonts w:hint="eastAsia" w:ascii="宋体" w:hAnsi="宋体" w:eastAsia="宋体" w:cs="宋体"/>
          <w:color w:val="auto"/>
          <w:sz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（注：在框架协议采购的第二阶段，可选择使用该合同文本）</w:t>
      </w:r>
      <w:r/>
    </w:p>
    <w:p>
      <w:pPr>
        <w:pStyle w:val="1036"/>
        <w:ind w:firstLine="220"/>
        <w:rPr>
          <w:rFonts w:ascii="宋体" w:hAnsi="宋体" w:eastAsia="宋体" w:cs="Times New Roman"/>
          <w:color w:val="auto"/>
          <w:sz w:val="21"/>
        </w:rPr>
      </w:pPr>
      <w:r>
        <w:rPr>
          <w:rFonts w:hint="eastAsia" w:ascii="宋体" w:hAnsi="宋体"/>
          <w:color w:val="auto"/>
        </w:rPr>
        <w:t xml:space="preserve"> （</w:t>
      </w:r>
      <w:r>
        <w:rPr>
          <w:rFonts w:ascii="宋体" w:hAnsi="宋体"/>
          <w:color w:val="auto"/>
          <w:lang w:val="en"/>
        </w:rPr>
        <w:t xml:space="preserve">6</w:t>
      </w:r>
      <w:r>
        <w:rPr>
          <w:rFonts w:hint="eastAsia" w:ascii="宋体" w:hAnsi="宋体"/>
          <w:color w:val="auto"/>
        </w:rPr>
        <w:t xml:space="preserve">）</w:t>
      </w:r>
      <w:r>
        <w:rPr>
          <w:rFonts w:hint="eastAsia" w:ascii="宋体" w:hAnsi="宋体" w:eastAsia="宋体" w:cs="Times New Roman"/>
          <w:color w:val="auto"/>
          <w:sz w:val="21"/>
        </w:rPr>
        <w:t xml:space="preserve">中标（成交）采购标的制造商是否为中小企业：</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中标（成交）采购标的制造商是否为残疾人福利性单位：</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color w:val="auto"/>
        </w:rPr>
      </w:pPr>
      <w:r>
        <w:rPr>
          <w:rFonts w:hint="eastAsia"/>
          <w:color w:val="auto"/>
        </w:rPr>
        <w:t xml:space="preserve">        中标（成交）采购标的制造商是否为监狱企业：</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lang w:val="en"/>
        </w:rPr>
        <w:t xml:space="preserve">7</w:t>
      </w:r>
      <w:r>
        <w:rPr>
          <w:rFonts w:hint="eastAsia" w:ascii="宋体" w:hAnsi="宋体"/>
          <w:color w:val="auto"/>
          <w:szCs w:val="21"/>
        </w:rPr>
        <w:t xml:space="preserve">）合同是否分包：</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840"/>
        <w:spacing w:line="400" w:lineRule="exact"/>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分包供应商/制造商名称（如供应商和制造商不同，请分别填写）：</w:t>
      </w:r>
      <w:r/>
    </w:p>
    <w:p>
      <w:pPr>
        <w:ind w:firstLine="840"/>
        <w:spacing w:line="400" w:lineRule="exact"/>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r/>
    </w:p>
    <w:p>
      <w:pPr>
        <w:ind w:firstLine="840"/>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  </w:t>
      </w:r>
      <w:r/>
    </w:p>
    <w:p>
      <w:pPr>
        <w:ind w:firstLine="840"/>
        <w:spacing w:line="400" w:lineRule="exact"/>
        <w:rPr>
          <w:rFonts w:eastAsia="华文楷体"/>
          <w:color w:val="auto"/>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p>
    <w:p>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pStyle w:val="1036"/>
        <w:ind w:firstLine="420"/>
        <w:tabs>
          <w:tab w:val="left" w:pos="1340" w:leader="none"/>
        </w:tabs>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ascii="Wingdings" w:hAnsi="Wingdings" w:eastAsia="Wingdings" w:cs="Wingdings"/>
          <w:iCs/>
          <w:color w:val="auto"/>
          <w:sz w:val="21"/>
        </w:rPr>
        <w:t xml:space="preserve">¨</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 xml:space="preserve">¨</w:t>
      </w:r>
      <w:r>
        <w:rPr>
          <w:rFonts w:hint="eastAsia" w:ascii="宋体" w:hAnsi="宋体" w:eastAsia="宋体" w:cs="宋体"/>
          <w:iCs/>
          <w:color w:val="auto"/>
          <w:sz w:val="21"/>
        </w:rPr>
        <w:t xml:space="preserve">部分由外国投资者投资</w:t>
      </w:r>
      <w:r/>
    </w:p>
    <w:p>
      <w:pPr>
        <w:ind w:firstLine="420"/>
        <w:spacing w:line="400" w:lineRule="exact"/>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9</w:t>
      </w:r>
      <w:r>
        <w:rPr>
          <w:rFonts w:hint="eastAsia" w:ascii="宋体" w:hAnsi="宋体" w:cs="宋体"/>
          <w:color w:val="auto"/>
          <w:szCs w:val="21"/>
        </w:rPr>
        <w:t xml:space="preserve">）是否涉及进口产品：</w:t>
      </w:r>
      <w:r/>
    </w:p>
    <w:p>
      <w:pPr>
        <w:ind w:firstLine="840"/>
        <w:spacing w:line="400" w:lineRule="exact"/>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0</w:t>
      </w:r>
      <w:r>
        <w:rPr>
          <w:rFonts w:hint="eastAsia" w:ascii="宋体" w:hAnsi="宋体"/>
          <w:color w:val="auto"/>
          <w:szCs w:val="21"/>
        </w:rPr>
        <w:t xml:space="preserve">）是否涉及节能产品：</w:t>
      </w:r>
      <w:r/>
    </w:p>
    <w:p>
      <w:pPr>
        <w:spacing w:line="400" w:lineRule="exact"/>
        <w:tabs>
          <w:tab w:val="left" w:pos="740" w:leader="none"/>
        </w:tabs>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宋体" w:hAnsi="宋体"/>
          <w:iCs/>
          <w:color w:val="auto"/>
          <w:szCs w:val="21"/>
        </w:rPr>
        <w:t xml:space="preserve">       </w:t>
      </w: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是否涉及环境标志产品：</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pStyle w:val="1036"/>
        <w:ind w:firstLine="0"/>
        <w:rPr>
          <w:rFonts w:ascii="宋体" w:hAnsi="宋体" w:eastAsia="宋体" w:cs="Times New Roman"/>
          <w:color w:val="auto"/>
          <w:sz w:val="21"/>
        </w:rPr>
      </w:pPr>
      <w:r>
        <w:rPr>
          <w:rFonts w:hint="eastAsia" w:ascii="宋体" w:hAnsi="宋体"/>
          <w:color w:val="auto"/>
          <w:sz w:val="21"/>
        </w:rPr>
        <w:t xml:space="preserve">          </w:t>
      </w:r>
      <w:r>
        <w:rPr>
          <w:rFonts w:hint="eastAsia" w:ascii="宋体" w:hAnsi="宋体" w:eastAsia="宋体" w:cs="Times New Roman"/>
          <w:color w:val="auto"/>
          <w:sz w:val="21"/>
        </w:rPr>
        <w:t xml:space="preserve">是否涉及绿色产品： </w:t>
      </w:r>
      <w:r/>
    </w:p>
    <w:p>
      <w:pPr>
        <w:pStyle w:val="1036"/>
        <w:ind w:firstLine="420"/>
        <w:rPr>
          <w:rFonts w:ascii="宋体" w:hAnsi="宋体" w:eastAsia="宋体"/>
          <w:color w:val="auto"/>
          <w:u w:val="single"/>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是，绿色产品政府采购相关政策确定的底级品目名称：</w:t>
      </w:r>
      <w:r>
        <w:rPr>
          <w:rFonts w:hint="eastAsia" w:ascii="宋体" w:hAnsi="宋体" w:eastAsia="宋体"/>
          <w:color w:val="auto"/>
          <w:u w:val="single"/>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pStyle w:val="1036"/>
        <w:ind w:firstLine="420"/>
        <w:rPr>
          <w:rFonts w:ascii="宋体" w:hAnsi="宋体"/>
          <w:color w:val="auto"/>
          <w:sz w:val="21"/>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      </w:t>
      </w:r>
      <w:r>
        <w:rPr>
          <w:rFonts w:ascii="Wingdings" w:hAnsi="Wingdings" w:eastAsia="Wingdings" w:cs="Wingdings"/>
          <w:color w:val="auto"/>
          <w:szCs w:val="21"/>
        </w:rPr>
        <w:t xml:space="preserve">¨</w:t>
      </w:r>
      <w:r>
        <w:rPr>
          <w:rFonts w:hint="eastAsia" w:ascii="宋体" w:hAnsi="宋体"/>
          <w:color w:val="auto"/>
          <w:szCs w:val="21"/>
        </w:rPr>
        <w:t xml:space="preserve">不涉及</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合同金额</w:t>
      </w:r>
      <w:r/>
    </w:p>
    <w:p>
      <w:pPr>
        <w:ind w:firstLine="420"/>
        <w:spacing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r/>
    </w:p>
    <w:p>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r/>
    </w:p>
    <w:p>
      <w:pPr>
        <w:ind w:firstLine="420"/>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þ</w:t>
      </w:r>
      <w:r>
        <w:rPr>
          <w:rFonts w:hint="eastAsia" w:ascii="宋体" w:hAnsi="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p>
    <w:p>
      <w:pPr>
        <w:pStyle w:val="1037"/>
        <w:ind w:left="0" w:firstLine="420"/>
        <w:spacing w:line="400" w:lineRule="exact"/>
        <w:rPr>
          <w:color w:val="auto"/>
          <w:sz w:val="21"/>
          <w:szCs w:val="21"/>
          <w:lang w:eastAsia="zh-CN"/>
        </w:rPr>
      </w:pPr>
      <w:r>
        <w:rPr>
          <w:rFonts w:hint="eastAsia" w:ascii="宋体" w:hAnsi="宋体"/>
          <w:color w:val="auto"/>
          <w:sz w:val="21"/>
          <w:szCs w:val="21"/>
          <w:lang w:eastAsia="zh-CN"/>
        </w:rPr>
        <w:t xml:space="preserve">（3）付款方式（按项目实际勾选填写）：</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spacing w:before="120" w:after="120"/>
        <w:rPr>
          <w:rFonts w:hint="eastAsia" w:ascii="宋体" w:hAnsi="宋体" w:eastAsia="宋体" w:cs="Courier New"/>
          <w:bCs/>
          <w:color w:val="auto"/>
          <w:sz w:val="24"/>
          <w:szCs w:val="24"/>
          <w:lang w:eastAsia="zh-CN"/>
        </w:rPr>
      </w:pPr>
      <w:r>
        <w:rPr>
          <w:rFonts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rPr>
        <w:t xml:space="preserve">，其中涉及预付款的：</w:t>
      </w:r>
      <w:r>
        <w:rPr>
          <w:rFonts w:hint="eastAsia" w:ascii="宋体" w:hAnsi="宋体"/>
          <w:color w:val="auto"/>
          <w:szCs w:val="21"/>
          <w:u w:val="single"/>
        </w:rPr>
        <w:t xml:space="preserve"> 采购合同签订后预付合同价款的30% </w:t>
      </w:r>
      <w:r>
        <w:rPr>
          <w:rFonts w:hint="eastAsia"/>
          <w:color w:val="auto"/>
          <w:lang w:eastAsia="zh-CN"/>
        </w:rPr>
        <w:t xml:space="preserve">。</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numPr>
          <w:ilvl w:val="0"/>
          <w:numId w:val="2"/>
        </w:numPr>
        <w:ind w:firstLine="422"/>
        <w:spacing w:line="400" w:lineRule="exact"/>
        <w:rPr>
          <w:rFonts w:ascii="宋体" w:hAnsi="宋体"/>
          <w:b/>
          <w:color w:val="auto"/>
          <w:szCs w:val="21"/>
          <w:u w:val="single"/>
        </w:rPr>
      </w:pPr>
      <w:r>
        <w:rPr>
          <w:rFonts w:hint="eastAsia" w:ascii="宋体" w:hAnsi="宋体"/>
          <w:b/>
          <w:color w:val="auto"/>
          <w:szCs w:val="21"/>
        </w:rPr>
        <w:t xml:space="preserve">合同履行</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rPr>
        <w:t xml:space="preserve">是否收取履约保证金：</w:t>
      </w:r>
      <w:r>
        <w:rPr>
          <w:rFonts w:ascii="Wingdings" w:hAnsi="Wingdings" w:eastAsia="Wingdings" w:cs="Wingdings"/>
          <w:color w:val="auto"/>
          <w:szCs w:val="21"/>
        </w:rPr>
        <w:t xml:space="preserve">þ</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1036"/>
        <w:rPr>
          <w:rFonts w:hint="eastAsia" w:ascii="宋体" w:hAnsi="宋体" w:eastAsia="宋体" w:cs="宋体"/>
          <w:bCs/>
          <w:color w:val="auto"/>
          <w:sz w:val="21"/>
          <w:u w:val="single"/>
        </w:rPr>
      </w:pPr>
      <w:r>
        <w:rPr>
          <w:rFonts w:hint="eastAsia" w:ascii="宋体" w:hAnsi="宋体" w:cs="宋体"/>
          <w:bCs/>
          <w:color w:val="auto"/>
        </w:rPr>
        <w:t xml:space="preserve"> </w:t>
      </w:r>
      <w:r>
        <w:rPr>
          <w:rFonts w:hint="eastAsia" w:ascii="宋体" w:hAnsi="宋体" w:eastAsia="宋体" w:cs="宋体"/>
          <w:color w:val="auto"/>
          <w:sz w:val="21"/>
        </w:rPr>
        <w:t xml:space="preserve">收取履约保证金形式：</w:t>
      </w:r>
      <w:r>
        <w:rPr>
          <w:rFonts w:hint="eastAsia" w:ascii="宋体" w:hAnsi="宋体" w:eastAsia="宋体" w:cs="宋体"/>
          <w:bCs/>
          <w:color w:val="auto"/>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3履约保证金退还方式</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履约保证金退还条件，按以下第 a 方式实行：</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a、货物类项目，项目验收合格，出具验收报告及履约保证金收据申请退付；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b、服务类项目，项目履约期满评价合格，出具履约评价报告及履约保证金收据申请退付；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c、工程类项目，项目完工验收合格，出具完工证明及履约保证金收据申请退付；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履约保证金退还时间</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采购人收到投标人退付申请后5个工作日内退还。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履约保证金不予退还情形</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除不可抗力外，中标人不履行与采购人订立的采购合同的，履约保证金不予退还，给采购人造成的损失超过履约保证金数额的，还应对超过部分予以赔偿。</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逾期退还履约保证金违约责任</w:t>
      </w:r>
      <w:r/>
    </w:p>
    <w:p>
      <w:pPr>
        <w:pStyle w:val="1036"/>
        <w:rPr>
          <w:rFonts w:ascii="宋体" w:hAnsi="宋体" w:eastAsia="宋体" w:cs="宋体"/>
          <w:color w:val="auto"/>
          <w:sz w:val="21"/>
        </w:rPr>
      </w:pPr>
      <w:r>
        <w:rPr>
          <w:rFonts w:hint="eastAsia" w:ascii="宋体" w:hAnsi="宋体" w:eastAsia="宋体" w:cs="宋体"/>
          <w:bCs/>
          <w:color w:val="auto"/>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按采购合同总价的2%提交</w:t>
      </w:r>
      <w:r>
        <w:rPr>
          <w:rFonts w:hint="eastAsia" w:ascii="宋体" w:hAnsi="宋体" w:eastAsia="宋体" w:cs="宋体"/>
          <w:bCs/>
          <w:color w:val="auto"/>
          <w:sz w:val="21"/>
          <w:u w:val="single"/>
          <w:lang w:eastAsia="zh-CN"/>
        </w:rPr>
        <w:t xml:space="preserve">，</w:t>
      </w:r>
      <w:r>
        <w:rPr>
          <w:rFonts w:hint="eastAsia" w:ascii="宋体" w:hAnsi="宋体" w:eastAsia="宋体" w:cs="宋体"/>
          <w:bCs/>
          <w:color w:val="auto"/>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同合同履约期限，</w:t>
      </w:r>
      <w:r>
        <w:rPr>
          <w:rFonts w:hint="eastAsia" w:ascii="宋体" w:hAnsi="宋体" w:cs="宋体"/>
          <w:bCs/>
          <w:color w:val="auto"/>
          <w:szCs w:val="21"/>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w:t>
      </w:r>
      <w:r>
        <w:rPr>
          <w:rFonts w:hint="eastAsia" w:ascii="宋体" w:hAnsi="宋体" w:cs="宋体"/>
          <w:bCs/>
          <w:color w:val="auto"/>
          <w:szCs w:val="21"/>
          <w:u w:val="single"/>
        </w:rPr>
        <w:t xml:space="preserve">   </w:t>
      </w:r>
      <w:r/>
    </w:p>
    <w:p>
      <w:pPr>
        <w:ind w:firstLine="420"/>
        <w:spacing w:line="400" w:lineRule="exact"/>
        <w:rPr>
          <w:rFonts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合同验收</w:t>
      </w:r>
      <w:r/>
    </w:p>
    <w:p>
      <w:pPr>
        <w:numPr>
          <w:ilvl w:val="0"/>
          <w:numId w:val="4"/>
        </w:numPr>
        <w:ind w:firstLine="420"/>
        <w:spacing w:line="400" w:lineRule="exact"/>
        <w:rPr>
          <w:rFonts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Cs w:val="21"/>
        </w:rPr>
        <w:t xml:space="preserve">¨</w:t>
      </w:r>
      <w:r>
        <w:rPr>
          <w:rFonts w:hint="eastAsia" w:ascii="宋体" w:hAnsi="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bCs/>
          <w:color w:val="auto"/>
          <w:szCs w:val="21"/>
        </w:rPr>
        <w:t xml:space="preserve">委托第三方组织</w:t>
      </w:r>
      <w:r/>
    </w:p>
    <w:p>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p>
    <w:p>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p>
    <w:p>
      <w:pPr>
        <w:ind w:firstLine="525"/>
        <w:spacing w:line="400" w:lineRule="exact"/>
        <w:rPr>
          <w:rFonts w:ascii="宋体" w:hAnsi="宋体"/>
          <w:bCs/>
          <w:color w:val="auto"/>
          <w:szCs w:val="21"/>
        </w:rPr>
      </w:pP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p>
    <w:p>
      <w:pPr>
        <w:ind w:firstLine="420"/>
        <w:spacing w:line="400" w:lineRule="exact"/>
        <w:rPr>
          <w:rFonts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Cs w:val="21"/>
        </w:rPr>
        <w:t xml:space="preserve">¨</w:t>
      </w:r>
      <w:r>
        <w:rPr>
          <w:rFonts w:hint="eastAsia" w:ascii="宋体" w:hAnsi="宋体"/>
          <w:bCs/>
          <w:color w:val="auto"/>
          <w:szCs w:val="21"/>
        </w:rPr>
        <w:t xml:space="preserve">一次性验收         </w:t>
      </w:r>
      <w:r/>
    </w:p>
    <w:p>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bCs/>
          <w:color w:val="auto"/>
          <w:sz w:val="21"/>
        </w:rPr>
        <w:t xml:space="preserve">（7）是否以采购活动中供应商提供的样品作为参考：</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是  </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否</w:t>
      </w:r>
      <w:r/>
    </w:p>
    <w:p>
      <w:pPr>
        <w:ind w:firstLine="420"/>
        <w:spacing w:line="400" w:lineRule="exact"/>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组成合同的文件</w:t>
      </w:r>
      <w:r/>
    </w:p>
    <w:p>
      <w:pPr>
        <w:ind w:firstLine="420"/>
        <w:spacing w:line="400" w:lineRule="exact"/>
        <w:rPr>
          <w:rFonts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rPr>
      </w:pPr>
      <w:r>
        <w:rPr>
          <w:rFonts w:hint="eastAsia" w:ascii="宋体" w:hAnsi="宋体"/>
          <w:color w:val="auto"/>
          <w:szCs w:val="21"/>
        </w:rPr>
        <w:t xml:space="preserve">（1）政府采购合同协议书及其变更、补充协议</w:t>
      </w:r>
      <w:r/>
    </w:p>
    <w:p>
      <w:pPr>
        <w:ind w:firstLine="420"/>
        <w:spacing w:line="400" w:lineRule="exact"/>
        <w:rPr>
          <w:rFonts w:ascii="宋体" w:hAnsi="宋体"/>
          <w:color w:val="auto"/>
          <w:szCs w:val="21"/>
        </w:rPr>
      </w:pPr>
      <w:r>
        <w:rPr>
          <w:rFonts w:hint="eastAsia" w:ascii="宋体" w:hAnsi="宋体"/>
          <w:color w:val="auto"/>
          <w:szCs w:val="21"/>
        </w:rPr>
        <w:t xml:space="preserve">（2）政府采购合同专用条款</w:t>
      </w:r>
      <w:r/>
    </w:p>
    <w:p>
      <w:pPr>
        <w:ind w:firstLine="420"/>
        <w:spacing w:line="400" w:lineRule="exact"/>
        <w:rPr>
          <w:rFonts w:ascii="宋体" w:hAnsi="宋体"/>
          <w:color w:val="auto"/>
          <w:szCs w:val="21"/>
        </w:rPr>
      </w:pPr>
      <w:r>
        <w:rPr>
          <w:rFonts w:hint="eastAsia" w:ascii="宋体" w:hAnsi="宋体"/>
          <w:color w:val="auto"/>
          <w:szCs w:val="21"/>
        </w:rPr>
        <w:t xml:space="preserve">（3）政府采购合同通用条款</w:t>
      </w:r>
      <w:r/>
    </w:p>
    <w:p>
      <w:pPr>
        <w:ind w:firstLine="420"/>
        <w:spacing w:line="400" w:lineRule="exact"/>
        <w:rPr>
          <w:rFonts w:ascii="宋体" w:hAnsi="宋体"/>
          <w:color w:val="auto"/>
          <w:szCs w:val="21"/>
        </w:rPr>
      </w:pPr>
      <w:r>
        <w:rPr>
          <w:rFonts w:hint="eastAsia" w:ascii="宋体" w:hAnsi="宋体"/>
          <w:color w:val="auto"/>
          <w:szCs w:val="21"/>
        </w:rPr>
        <w:t xml:space="preserve">（4）中标（成交）通知书</w:t>
      </w:r>
      <w:r/>
    </w:p>
    <w:p>
      <w:pPr>
        <w:ind w:firstLine="420"/>
        <w:spacing w:line="400" w:lineRule="exact"/>
        <w:rPr>
          <w:rFonts w:ascii="宋体" w:hAnsi="宋体"/>
          <w:color w:val="auto"/>
          <w:szCs w:val="21"/>
        </w:rPr>
      </w:pPr>
      <w:r>
        <w:rPr>
          <w:rFonts w:hint="eastAsia" w:ascii="宋体" w:hAnsi="宋体"/>
          <w:color w:val="auto"/>
          <w:szCs w:val="21"/>
        </w:rPr>
        <w:t xml:space="preserve">（5）投标（响应）文件</w:t>
      </w:r>
      <w:r/>
    </w:p>
    <w:p>
      <w:pPr>
        <w:ind w:firstLine="420"/>
        <w:spacing w:line="400" w:lineRule="exact"/>
        <w:rPr>
          <w:rFonts w:ascii="宋体" w:hAnsi="宋体"/>
          <w:color w:val="auto"/>
          <w:szCs w:val="21"/>
        </w:rPr>
      </w:pPr>
      <w:r>
        <w:rPr>
          <w:rFonts w:hint="eastAsia" w:ascii="宋体" w:hAnsi="宋体"/>
          <w:color w:val="auto"/>
          <w:szCs w:val="21"/>
        </w:rPr>
        <w:t xml:space="preserve">（6）采购文件</w:t>
      </w:r>
      <w:r/>
    </w:p>
    <w:p>
      <w:pPr>
        <w:ind w:firstLine="420"/>
        <w:spacing w:line="400" w:lineRule="exact"/>
        <w:rPr>
          <w:rFonts w:ascii="宋体" w:hAnsi="宋体"/>
          <w:color w:val="auto"/>
          <w:szCs w:val="21"/>
        </w:rPr>
      </w:pPr>
      <w:r>
        <w:rPr>
          <w:rFonts w:hint="eastAsia" w:ascii="宋体" w:hAnsi="宋体"/>
          <w:color w:val="auto"/>
          <w:szCs w:val="21"/>
        </w:rPr>
        <w:t xml:space="preserve">（7）有关技术文件，图纸</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（8）</w:t>
      </w:r>
      <w:r>
        <w:rPr>
          <w:rFonts w:hint="eastAsia" w:ascii="宋体" w:hAnsi="宋体" w:eastAsia="宋体" w:cs="宋体"/>
          <w:color w:val="auto"/>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合同生效</w:t>
      </w:r>
      <w:r/>
    </w:p>
    <w:p>
      <w:pPr>
        <w:ind w:firstLine="420"/>
        <w:spacing w:line="400" w:lineRule="exact"/>
        <w:rPr>
          <w:rFonts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p>
    <w:p>
      <w:pPr>
        <w:ind w:firstLine="420"/>
        <w:spacing w:line="400" w:lineRule="exact"/>
        <w:rPr>
          <w:rFonts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ind w:firstLine="420"/>
        <w:spacing w:line="400" w:lineRule="exact"/>
        <w:rPr>
          <w:rFonts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p>
    <w:p>
      <w:pPr>
        <w:ind w:firstLine="420"/>
        <w:spacing w:line="400" w:lineRule="exact"/>
        <w:rPr>
          <w:rFonts w:ascii="宋体" w:hAnsi="宋体"/>
          <w:b/>
          <w:bCs/>
          <w:color w:val="auto"/>
          <w:szCs w:val="21"/>
        </w:rPr>
      </w:pPr>
      <w:r>
        <w:rPr>
          <w:rFonts w:hint="eastAsia" w:ascii="宋体" w:hAnsi="宋体"/>
          <w:color w:val="auto"/>
          <w:szCs w:val="21"/>
        </w:rPr>
        <w:t xml:space="preserve">附件：具体标的及其技术要求和商务要求、联合协议、分包意向协议等</w:t>
      </w:r>
      <w:r>
        <w:rPr>
          <w:color w:val="auto"/>
          <w:lang w:val="en"/>
        </w:rPr>
        <w:t xml:space="preserve">   </w:t>
      </w:r>
      <w:r/>
    </w:p>
    <w:p>
      <w:pPr>
        <w:pStyle w:val="1037"/>
        <w:rPr>
          <w:color w:val="auto"/>
          <w:lang w:eastAsia="zh-CN"/>
        </w:rPr>
      </w:pPr>
      <w:r>
        <w:rPr>
          <w:color w:val="auto"/>
          <w:lang w:eastAsia="zh-CN"/>
        </w:rPr>
      </w:r>
      <w:r/>
    </w:p>
    <w:tbl>
      <w:tblPr>
        <w:tblStyle w:val="77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rPr>
            </w:pPr>
            <w:r>
              <w:rPr>
                <w:color w:val="auto"/>
                <w:szCs w:val="21"/>
              </w:rPr>
              <w:t xml:space="preserve">乙方</w:t>
            </w:r>
            <w:r>
              <w:rPr>
                <w:rFonts w:hint="eastAsia"/>
                <w:color w:val="auto"/>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rPr>
            </w:pPr>
            <w:r>
              <w:rPr>
                <w:color w:val="auto"/>
                <w:szCs w:val="21"/>
              </w:rPr>
              <w:t xml:space="preserve">法定代表人</w:t>
            </w:r>
            <w:r/>
          </w:p>
          <w:p>
            <w:pPr>
              <w:ind w:firstLine="100"/>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法定代表人</w:t>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rPr>
            </w:pPr>
            <w:r>
              <w:rPr>
                <w:color w:val="auto"/>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rPr>
            </w:pPr>
            <w:r>
              <w:rPr>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0"/>
              <w:ind w:left="0"/>
              <w:jc w:val="left"/>
              <w:spacing w:before="156" w:after="0" w:line="360" w:lineRule="auto"/>
              <w:rPr>
                <w:color w:val="auto"/>
                <w:spacing w:val="20"/>
                <w:szCs w:val="21"/>
              </w:rPr>
            </w:pPr>
            <w:r>
              <w:rPr>
                <w:rFonts w:hint="eastAsia" w:ascii="宋体" w:hAnsi="宋体"/>
                <w:color w:val="auto"/>
                <w:szCs w:val="21"/>
              </w:rPr>
              <w:t xml:space="preserve">注：涉及联合体或其他合同主体的信息应按上表格式加列。</w:t>
            </w:r>
            <w:r/>
          </w:p>
        </w:tc>
      </w:tr>
    </w:tbl>
    <w:p>
      <w:pPr>
        <w:pStyle w:val="766"/>
        <w:spacing w:before="156"/>
        <w:rPr>
          <w:rFonts w:ascii="黑体" w:hAnsi="黑体" w:eastAsia="黑体"/>
          <w:color w:val="auto"/>
          <w:sz w:val="28"/>
          <w:szCs w:val="28"/>
        </w:rPr>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 xml:space="preserve">定义</w:t>
      </w:r>
      <w:r/>
    </w:p>
    <w:p>
      <w:pPr>
        <w:ind w:firstLine="420"/>
        <w:jc w:val="left"/>
        <w:spacing w:line="400" w:lineRule="exact"/>
        <w:rPr>
          <w:rFonts w:ascii="宋体" w:hAnsi="宋体"/>
          <w:color w:val="auto"/>
          <w:szCs w:val="21"/>
        </w:rPr>
      </w:pPr>
      <w:r>
        <w:rPr>
          <w:rFonts w:hint="eastAsia" w:ascii="宋体" w:hAnsi="宋体"/>
          <w:color w:val="auto"/>
          <w:szCs w:val="21"/>
        </w:rPr>
        <w:t xml:space="preserve">1.1合同当事人</w:t>
      </w:r>
      <w:r/>
    </w:p>
    <w:p>
      <w:pPr>
        <w:ind w:firstLine="420"/>
        <w:jc w:val="left"/>
        <w:spacing w:line="400" w:lineRule="exact"/>
        <w:rPr>
          <w:rFonts w:ascii="宋体" w:hAnsi="宋体"/>
          <w:color w:val="auto"/>
          <w:szCs w:val="21"/>
        </w:rPr>
      </w:pPr>
      <w:r>
        <w:rPr>
          <w:rFonts w:hint="eastAsia" w:ascii="宋体" w:hAnsi="宋体"/>
          <w:color w:val="auto"/>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rPr>
      </w:pPr>
      <w:r>
        <w:rPr>
          <w:rFonts w:hint="eastAsia" w:ascii="宋体" w:hAnsi="宋体"/>
          <w:color w:val="auto"/>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1.2本合同下列术语应解释为：</w:t>
      </w:r>
      <w:r/>
    </w:p>
    <w:p>
      <w:pPr>
        <w:ind w:firstLine="420"/>
        <w:jc w:val="left"/>
        <w:spacing w:line="400" w:lineRule="exact"/>
        <w:rPr>
          <w:rFonts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w:t>
      </w:r>
      <w:r>
        <w:rPr>
          <w:rFonts w:hint="eastAsia" w:ascii="宋体" w:hAnsi="宋体"/>
          <w:color w:val="auto"/>
          <w:szCs w:val="21"/>
        </w:rPr>
        <w:t xml:space="preserve">包括软件）及相关的备品备件、工具、手册及</w:t>
      </w:r>
      <w:r>
        <w:rPr>
          <w:rFonts w:ascii="宋体" w:hAnsi="宋体"/>
          <w:color w:val="auto"/>
          <w:szCs w:val="21"/>
          <w:lang w:val="en"/>
        </w:rPr>
        <w:t xml:space="preserve">其他</w:t>
      </w:r>
      <w:r>
        <w:rPr>
          <w:rFonts w:hint="eastAsia" w:ascii="宋体" w:hAnsi="宋体"/>
          <w:color w:val="auto"/>
          <w:szCs w:val="21"/>
        </w:rPr>
        <w:t xml:space="preserve">技术资料和材料等。</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（4）“</w:t>
      </w:r>
      <w:r>
        <w:rPr>
          <w:rFonts w:hint="eastAsia" w:ascii="宋体" w:hAnsi="宋体"/>
          <w:color w:val="auto"/>
          <w:szCs w:val="21"/>
        </w:rPr>
        <w:t xml:space="preserve">相关</w:t>
      </w:r>
      <w:r>
        <w:rPr>
          <w:rFonts w:hint="eastAsia" w:ascii="宋体" w:hAnsi="宋体"/>
          <w:color w:val="auto"/>
          <w:szCs w:val="21"/>
        </w:rPr>
        <w:t xml:space="preserve">服务”系指根据合同规定，乙方应提供的与货物有关的技术、管理和</w:t>
      </w:r>
      <w:r>
        <w:rPr>
          <w:rFonts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ascii="宋体" w:hAnsi="宋体"/>
          <w:color w:val="auto"/>
          <w:szCs w:val="21"/>
          <w:lang w:val="en"/>
        </w:rPr>
        <w:t xml:space="preserve">其他</w:t>
      </w:r>
      <w:r>
        <w:rPr>
          <w:rFonts w:hint="eastAsia" w:ascii="宋体" w:hAnsi="宋体"/>
          <w:color w:val="auto"/>
          <w:szCs w:val="21"/>
        </w:rPr>
        <w:t xml:space="preserve">义务。</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（6）</w:t>
      </w:r>
      <w:r>
        <w:rPr>
          <w:rFonts w:hint="eastAsia" w:ascii="宋体" w:hAnsi="宋体"/>
          <w:color w:val="auto"/>
          <w:szCs w:val="21"/>
        </w:rPr>
        <w:t xml:space="preserve">“联合体”系指由两个以上的自然人、法人或者非法人组织组成，以一个供应商的身份共同参加政府采购的主体</w:t>
      </w:r>
      <w:r>
        <w:rPr>
          <w:rFonts w:hint="eastAsia" w:ascii="宋体" w:hAnsi="宋体"/>
          <w:color w:val="auto"/>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numPr>
          <w:ilvl w:val="0"/>
          <w:numId w:val="5"/>
        </w:numPr>
        <w:jc w:val="left"/>
        <w:spacing w:line="400" w:lineRule="exact"/>
        <w:rPr>
          <w:rFonts w:ascii="宋体" w:hAnsi="宋体"/>
          <w:b/>
          <w:bCs/>
          <w:color w:val="auto"/>
          <w:sz w:val="24"/>
        </w:rPr>
      </w:pPr>
      <w:r>
        <w:rPr>
          <w:rFonts w:hint="eastAsia" w:ascii="宋体" w:hAnsi="宋体"/>
          <w:b/>
          <w:color w:val="auto"/>
          <w:sz w:val="24"/>
        </w:rPr>
        <w:t xml:space="preserve">合同标的及金额</w:t>
      </w:r>
      <w:r/>
    </w:p>
    <w:p>
      <w:pPr>
        <w:ind w:firstLine="420"/>
        <w:jc w:val="left"/>
        <w:spacing w:line="400" w:lineRule="exact"/>
        <w:rPr>
          <w:rFonts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ascii="宋体" w:hAnsi="宋体"/>
          <w:color w:val="auto"/>
          <w:szCs w:val="21"/>
          <w:lang w:val="en"/>
        </w:rPr>
        <w:t xml:space="preserve">其他</w:t>
      </w:r>
      <w:r>
        <w:rPr>
          <w:rFonts w:hint="eastAsia" w:ascii="宋体" w:hAnsi="宋体"/>
          <w:color w:val="auto"/>
          <w:szCs w:val="21"/>
        </w:rPr>
        <w:t xml:space="preserve">任何费用。</w:t>
      </w:r>
      <w:r/>
    </w:p>
    <w:p>
      <w:pPr>
        <w:jc w:val="left"/>
        <w:spacing w:line="400" w:lineRule="exact"/>
        <w:rPr>
          <w:rFonts w:ascii="宋体" w:hAnsi="宋体"/>
          <w:b/>
          <w:color w:val="auto"/>
          <w:sz w:val="24"/>
        </w:rPr>
      </w:pPr>
      <w:r>
        <w:rPr>
          <w:rFonts w:hint="eastAsia" w:ascii="宋体" w:hAnsi="宋体"/>
          <w:b/>
          <w:color w:val="auto"/>
          <w:sz w:val="24"/>
        </w:rPr>
        <w:t xml:space="preserve">3. 履行合同的时间、地点和方式</w:t>
      </w:r>
      <w:r/>
    </w:p>
    <w:p>
      <w:pPr>
        <w:ind w:firstLine="420"/>
        <w:jc w:val="left"/>
        <w:spacing w:line="400" w:lineRule="exac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p>
    <w:p>
      <w:pPr>
        <w:jc w:val="left"/>
        <w:spacing w:line="400" w:lineRule="exact"/>
        <w:rPr>
          <w:rFonts w:ascii="宋体" w:hAnsi="宋体"/>
          <w:b/>
          <w:bCs/>
          <w:color w:val="auto"/>
          <w:sz w:val="24"/>
        </w:rPr>
      </w:pPr>
      <w:r>
        <w:rPr>
          <w:rFonts w:hint="eastAsia" w:ascii="宋体" w:hAnsi="宋体"/>
          <w:b/>
          <w:bCs/>
          <w:color w:val="auto"/>
          <w:sz w:val="24"/>
        </w:rPr>
        <w:t xml:space="preserve">4. 甲方的权利和义务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 签署合同后，甲方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rFonts w:hint="eastAsia" w:ascii="宋体" w:hAnsi="宋体"/>
          <w:color w:val="auto"/>
          <w:szCs w:val="21"/>
        </w:rPr>
        <w:t xml:space="preserve">甲方有权对乙方的履约行为进行检查，并</w:t>
      </w:r>
      <w:r>
        <w:rPr>
          <w:rFonts w:ascii="宋体" w:hAnsi="宋体"/>
          <w:color w:val="auto"/>
          <w:szCs w:val="21"/>
        </w:rPr>
        <w:t xml:space="preserve">及时确认乙方提交的事项</w:t>
      </w:r>
      <w:r>
        <w:rPr>
          <w:rFonts w:hint="eastAsia" w:ascii="宋体" w:hAnsi="宋体"/>
          <w:color w:val="auto"/>
          <w:szCs w:val="21"/>
        </w:rPr>
        <w:t xml:space="preserve">。甲方应当</w:t>
      </w:r>
      <w:r>
        <w:rPr>
          <w:rFonts w:ascii="宋体" w:hAnsi="宋体"/>
          <w:color w:val="auto"/>
          <w:szCs w:val="21"/>
        </w:rPr>
        <w:t xml:space="preserve">配合乙方完成</w:t>
      </w:r>
      <w:r>
        <w:rPr>
          <w:rFonts w:hint="eastAsia" w:ascii="宋体" w:hAnsi="宋体"/>
          <w:color w:val="auto"/>
          <w:szCs w:val="21"/>
        </w:rPr>
        <w:t xml:space="preserve">相关项目</w:t>
      </w:r>
      <w:r>
        <w:rPr>
          <w:rFonts w:ascii="宋体" w:hAnsi="宋体"/>
          <w:color w:val="auto"/>
          <w:szCs w:val="21"/>
        </w:rPr>
        <w:t xml:space="preserve">实施工作。</w:t>
      </w:r>
      <w:r/>
    </w:p>
    <w:p>
      <w:pPr>
        <w:ind w:firstLine="420"/>
        <w:jc w:val="left"/>
        <w:spacing w:line="400" w:lineRule="exact"/>
        <w:rPr>
          <w:rFonts w:ascii="宋体" w:hAnsi="宋体"/>
          <w:color w:val="auto"/>
          <w:szCs w:val="21"/>
        </w:rPr>
      </w:pPr>
      <w:r>
        <w:rPr>
          <w:rFonts w:hint="eastAsia" w:ascii="宋体" w:hAnsi="宋体"/>
          <w:color w:val="auto"/>
          <w:szCs w:val="21"/>
        </w:rPr>
        <w:t xml:space="preserve">4.2 </w:t>
      </w:r>
      <w:r>
        <w:rPr>
          <w:rFonts w:ascii="宋体" w:hAnsi="宋体"/>
          <w:color w:val="auto"/>
          <w:szCs w:val="21"/>
        </w:rPr>
        <w:t xml:space="preserve">甲方有权要求乙方按时提交各阶段有关</w:t>
      </w:r>
      <w:r>
        <w:rPr>
          <w:rFonts w:hint="eastAsia" w:ascii="宋体" w:hAnsi="宋体"/>
          <w:color w:val="auto"/>
          <w:szCs w:val="21"/>
        </w:rPr>
        <w:t xml:space="preserve">安排计划</w:t>
      </w:r>
      <w:r>
        <w:rPr>
          <w:rFonts w:ascii="宋体" w:hAnsi="宋体"/>
          <w:color w:val="auto"/>
          <w:szCs w:val="21"/>
        </w:rPr>
        <w:t xml:space="preserve">，并有权</w:t>
      </w:r>
      <w:r>
        <w:rPr>
          <w:rFonts w:hint="eastAsia" w:ascii="宋体" w:hAnsi="宋体"/>
          <w:color w:val="auto"/>
          <w:szCs w:val="21"/>
        </w:rPr>
        <w:t xml:space="preserve">定期核对乙方提供货物数量、规格、质量等内容。甲方</w:t>
      </w:r>
      <w:r>
        <w:rPr>
          <w:rFonts w:ascii="宋体" w:hAnsi="宋体"/>
          <w:color w:val="auto"/>
          <w:szCs w:val="21"/>
        </w:rPr>
        <w:t xml:space="preserve">有权督促乙方工作并要求乙方</w:t>
      </w:r>
      <w:r>
        <w:rPr>
          <w:rFonts w:hint="eastAsia" w:ascii="宋体" w:hAnsi="宋体"/>
          <w:color w:val="auto"/>
          <w:szCs w:val="21"/>
        </w:rPr>
        <w:t xml:space="preserve">更</w:t>
      </w:r>
      <w:r>
        <w:rPr>
          <w:rFonts w:ascii="宋体" w:hAnsi="宋体"/>
          <w:color w:val="auto"/>
          <w:szCs w:val="21"/>
        </w:rPr>
        <w:t xml:space="preserve">换不符合要求的</w:t>
      </w:r>
      <w:r>
        <w:rPr>
          <w:rFonts w:hint="eastAsia" w:ascii="宋体" w:hAnsi="宋体"/>
          <w:color w:val="auto"/>
          <w:szCs w:val="21"/>
        </w:rPr>
        <w:t xml:space="preserve">货物</w:t>
      </w:r>
      <w:r>
        <w:rPr>
          <w:rFonts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w:t>
      </w:r>
      <w:r>
        <w:rPr>
          <w:rFonts w:hint="eastAsia" w:ascii="宋体" w:hAnsi="宋体"/>
          <w:color w:val="auto"/>
          <w:szCs w:val="21"/>
        </w:rPr>
        <w:t xml:space="preserve"> </w:t>
      </w:r>
      <w:r>
        <w:rPr>
          <w:rFonts w:ascii="宋体" w:hAnsi="宋体"/>
          <w:color w:val="auto"/>
          <w:szCs w:val="21"/>
        </w:rPr>
        <w:t xml:space="preserve">甲方</w:t>
      </w:r>
      <w:r>
        <w:rPr>
          <w:rFonts w:hint="eastAsia" w:ascii="宋体" w:hAnsi="宋体"/>
          <w:color w:val="auto"/>
          <w:szCs w:val="21"/>
        </w:rPr>
        <w:t xml:space="preserve">有权要求乙方对缺陷部分予以修复，并按合同约定享有货物保修及其他合同约定的权利。</w:t>
      </w:r>
      <w:r/>
    </w:p>
    <w:p>
      <w:pPr>
        <w:ind w:firstLine="420"/>
        <w:spacing w:line="400" w:lineRule="exact"/>
        <w:rPr>
          <w:rFonts w:eastAsia="华文楷体"/>
          <w:color w:val="auto"/>
        </w:rPr>
      </w:pPr>
      <w:r>
        <w:rPr>
          <w:rFonts w:ascii="宋体" w:hAnsi="宋体"/>
          <w:color w:val="auto"/>
          <w:szCs w:val="21"/>
        </w:rPr>
        <w:t xml:space="preserve">4.4 甲方应当按照合同约定及时对交付的货物进行验收</w:t>
      </w:r>
      <w:r>
        <w:rPr>
          <w:rFonts w:hint="eastAsia" w:ascii="宋体" w:hAnsi="宋体"/>
          <w:color w:val="auto"/>
          <w:szCs w:val="21"/>
        </w:rPr>
        <w:t xml:space="preserve">，</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p>
    <w:p>
      <w:pPr>
        <w:ind w:firstLine="420"/>
        <w:jc w:val="left"/>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w:t>
      </w:r>
      <w:r>
        <w:rPr>
          <w:rFonts w:ascii="宋体" w:hAnsi="宋体"/>
          <w:color w:val="auto"/>
          <w:szCs w:val="21"/>
        </w:rPr>
        <w:t xml:space="preserve">5 </w:t>
      </w:r>
      <w:r>
        <w:rPr>
          <w:rFonts w:hint="eastAsia" w:ascii="宋体" w:hAnsi="宋体"/>
          <w:color w:val="auto"/>
          <w:szCs w:val="21"/>
        </w:rPr>
        <w:t xml:space="preserve">甲方应当根据合同约定及时向乙方支付合同价款</w:t>
      </w:r>
      <w:r>
        <w:rPr>
          <w:rFonts w:ascii="宋体" w:hAnsi="宋体"/>
          <w:color w:val="auto"/>
          <w:szCs w:val="21"/>
        </w:rPr>
        <w:t xml:space="preserve">，不得以内部人员变更、履行内部付款流程等为由，拒绝或迟延支付。</w:t>
      </w:r>
      <w:r/>
    </w:p>
    <w:p>
      <w:pPr>
        <w:ind w:firstLine="420"/>
        <w:jc w:val="left"/>
        <w:spacing w:line="400" w:lineRule="exact"/>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 </w:t>
      </w:r>
      <w:r>
        <w:rPr>
          <w:rFonts w:hint="eastAsia" w:ascii="宋体" w:hAnsi="宋体"/>
          <w:color w:val="auto"/>
          <w:szCs w:val="21"/>
        </w:rPr>
        <w:t xml:space="preserve">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p>
    <w:p>
      <w:pPr>
        <w:jc w:val="left"/>
        <w:spacing w:line="400" w:lineRule="exact"/>
        <w:rPr>
          <w:rFonts w:ascii="宋体" w:hAnsi="宋体"/>
          <w:b/>
          <w:bCs/>
          <w:color w:val="auto"/>
          <w:sz w:val="24"/>
        </w:rPr>
      </w:pPr>
      <w:r>
        <w:rPr>
          <w:rFonts w:hint="eastAsia" w:ascii="宋体" w:hAnsi="宋体"/>
          <w:b/>
          <w:bCs/>
          <w:color w:val="auto"/>
          <w:sz w:val="24"/>
        </w:rPr>
        <w:t xml:space="preserve">5. 乙方的权利和义务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5.1 </w:t>
      </w:r>
      <w:r>
        <w:rPr>
          <w:rFonts w:ascii="宋体" w:hAnsi="宋体"/>
          <w:color w:val="auto"/>
          <w:szCs w:val="21"/>
        </w:rPr>
        <w:t xml:space="preserve">签署合同后，乙方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2 乙方应按照合同要求</w:t>
      </w:r>
      <w:r>
        <w:rPr>
          <w:rFonts w:hint="eastAsia" w:ascii="宋体" w:hAnsi="宋体"/>
          <w:color w:val="auto"/>
          <w:szCs w:val="21"/>
        </w:rPr>
        <w:t xml:space="preserve">履约</w:t>
      </w:r>
      <w:r>
        <w:rPr>
          <w:rFonts w:ascii="宋体" w:hAnsi="宋体"/>
          <w:color w:val="auto"/>
          <w:szCs w:val="21"/>
        </w:rPr>
        <w:t xml:space="preserve">，充分合理安排，确保</w:t>
      </w:r>
      <w:r>
        <w:rPr>
          <w:rFonts w:hint="eastAsia" w:ascii="宋体" w:hAnsi="宋体"/>
          <w:color w:val="auto"/>
          <w:szCs w:val="21"/>
        </w:rPr>
        <w:t xml:space="preserve">提供的货物及相关服务符合合同有关</w:t>
      </w:r>
      <w:r>
        <w:rPr>
          <w:rFonts w:ascii="宋体" w:hAnsi="宋体"/>
          <w:color w:val="auto"/>
          <w:szCs w:val="21"/>
        </w:rPr>
        <w:t xml:space="preserve">要求</w:t>
      </w:r>
      <w:r>
        <w:rPr>
          <w:rFonts w:hint="eastAsia" w:ascii="宋体" w:hAnsi="宋体"/>
          <w:color w:val="auto"/>
          <w:szCs w:val="21"/>
        </w:rPr>
        <w:t xml:space="preserve">。接受项目行业管理部门及政府有关部门的指导，配合甲方的履约检查及验收，并</w:t>
      </w:r>
      <w:r>
        <w:rPr>
          <w:rFonts w:ascii="宋体" w:hAnsi="宋体"/>
          <w:color w:val="auto"/>
          <w:szCs w:val="21"/>
        </w:rPr>
        <w:t xml:space="preserve">负责项目实施过程中的所有协调工作。</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乙方有权根据合同约定向甲方收取合同价款。</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4</w:t>
      </w:r>
      <w:r>
        <w:rPr>
          <w:rFonts w:hint="eastAsia" w:ascii="宋体" w:hAnsi="宋体"/>
          <w:color w:val="auto"/>
          <w:szCs w:val="21"/>
        </w:rPr>
        <w:t xml:space="preserve">国家法律法规规定及</w:t>
      </w:r>
      <w:r>
        <w:rPr>
          <w:rFonts w:hint="eastAsia" w:ascii="宋体" w:hAnsi="宋体"/>
          <w:b/>
          <w:color w:val="auto"/>
          <w:szCs w:val="21"/>
        </w:rPr>
        <w:t xml:space="preserve">【政府采购合同专用条款】</w:t>
      </w:r>
      <w:r>
        <w:rPr>
          <w:rFonts w:hint="eastAsia" w:ascii="宋体" w:hAnsi="宋体"/>
          <w:color w:val="auto"/>
          <w:szCs w:val="21"/>
        </w:rPr>
        <w:t xml:space="preserve">约定应由乙方承担的其他义务和责任。</w:t>
      </w:r>
      <w:r/>
    </w:p>
    <w:p>
      <w:pPr>
        <w:numPr>
          <w:ilvl w:val="0"/>
          <w:numId w:val="6"/>
        </w:numPr>
        <w:jc w:val="left"/>
        <w:spacing w:line="400" w:lineRule="exact"/>
        <w:rPr>
          <w:rFonts w:ascii="宋体" w:hAnsi="宋体"/>
          <w:b/>
          <w:bCs/>
          <w:color w:val="auto"/>
          <w:sz w:val="24"/>
        </w:rPr>
      </w:pPr>
      <w:r>
        <w:rPr>
          <w:rFonts w:hint="eastAsia" w:ascii="宋体" w:hAnsi="宋体"/>
          <w:b/>
          <w:bCs/>
          <w:color w:val="auto"/>
          <w:sz w:val="24"/>
        </w:rPr>
        <w:t xml:space="preserve">合同履行</w:t>
      </w:r>
      <w:r/>
    </w:p>
    <w:p>
      <w:pPr>
        <w:ind w:firstLine="420"/>
        <w:jc w:val="left"/>
        <w:spacing w:line="400" w:lineRule="exact"/>
        <w:rPr>
          <w:rFonts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p>
    <w:p>
      <w:pPr>
        <w:ind w:firstLine="420"/>
        <w:jc w:val="left"/>
        <w:spacing w:line="400" w:lineRule="exact"/>
        <w:rPr>
          <w:color w:val="auto"/>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b/>
          <w:bCs/>
          <w:color w:val="auto"/>
          <w:sz w:val="24"/>
        </w:rPr>
        <w:t xml:space="preserve">7. 货物包装、运输、保险和交付要求</w:t>
      </w:r>
      <w:r/>
    </w:p>
    <w:p>
      <w:pPr>
        <w:ind w:firstLine="420"/>
        <w:jc w:val="left"/>
        <w:spacing w:line="400" w:lineRule="exact"/>
        <w:rPr>
          <w:rFonts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p>
    <w:p>
      <w:pPr>
        <w:ind w:firstLine="420"/>
        <w:jc w:val="left"/>
        <w:spacing w:line="400" w:lineRule="exact"/>
        <w:rPr>
          <w:rFonts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1036"/>
        <w:ind w:firstLine="420"/>
        <w:rPr>
          <w:color w:val="auto"/>
          <w:sz w:val="21"/>
        </w:rPr>
      </w:pPr>
      <w:r>
        <w:rPr>
          <w:rFonts w:hint="eastAsia" w:ascii="宋体" w:hAnsi="宋体" w:eastAsia="宋体" w:cs="Times New Roman"/>
          <w:color w:val="auto"/>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rPr>
      </w:pPr>
      <w:r>
        <w:rPr>
          <w:rFonts w:hint="eastAsia" w:ascii="宋体" w:hAnsi="宋体"/>
          <w:b/>
          <w:color w:val="auto"/>
          <w:sz w:val="24"/>
        </w:rPr>
        <w:t xml:space="preserve">8. </w:t>
      </w:r>
      <w:r>
        <w:rPr>
          <w:rFonts w:hint="eastAsia" w:ascii="宋体" w:hAnsi="宋体"/>
          <w:b/>
          <w:color w:val="auto"/>
          <w:sz w:val="24"/>
        </w:rPr>
        <w:t xml:space="preserve">质量标准和保证</w:t>
      </w:r>
      <w:r/>
    </w:p>
    <w:p>
      <w:pPr>
        <w:pStyle w:val="784"/>
        <w:ind w:firstLine="420"/>
        <w:jc w:val="left"/>
        <w:spacing w:line="400" w:lineRule="exact"/>
        <w:rPr>
          <w:rFonts w:hAnsi="宋体"/>
          <w:b/>
          <w:color w:val="auto"/>
        </w:rPr>
      </w:pPr>
      <w:r>
        <w:rPr>
          <w:rFonts w:hint="eastAsia" w:hAnsi="宋体"/>
          <w:color w:val="auto"/>
        </w:rPr>
        <w:t xml:space="preserve">8.1 质量标准</w:t>
      </w:r>
      <w:r/>
    </w:p>
    <w:p>
      <w:pPr>
        <w:ind w:firstLine="420"/>
        <w:jc w:val="left"/>
        <w:spacing w:line="400" w:lineRule="exact"/>
        <w:rPr>
          <w:rFonts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w:t>
      </w:r>
      <w:r>
        <w:rPr>
          <w:rFonts w:hint="eastAsia" w:ascii="宋体" w:hAnsi="宋体" w:cs="宋体"/>
          <w:color w:val="auto"/>
          <w:szCs w:val="21"/>
        </w:rPr>
        <w:t xml:space="preserve">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4"/>
        <w:ind w:firstLine="420"/>
        <w:jc w:val="left"/>
        <w:spacing w:line="400" w:lineRule="exact"/>
        <w:rPr>
          <w:rFonts w:hAnsi="宋体"/>
          <w:color w:val="auto"/>
        </w:rPr>
      </w:pPr>
      <w:r>
        <w:rPr>
          <w:rFonts w:hint="eastAsia" w:hAnsi="宋体"/>
          <w:color w:val="auto"/>
        </w:rPr>
        <w:t xml:space="preserve">（2）采用中华人民共和国法定计量单位。</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（3）乙方所提供的货物应符合国家有关安全、环保、卫生的规定。</w:t>
      </w:r>
      <w:r/>
    </w:p>
    <w:p>
      <w:pPr>
        <w:ind w:firstLine="420"/>
        <w:jc w:val="left"/>
        <w:spacing w:line="400" w:lineRule="exact"/>
        <w:rPr>
          <w:rFonts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rPr>
      </w:pPr>
      <w:r>
        <w:rPr>
          <w:rFonts w:hint="eastAsia" w:ascii="宋体" w:hAnsi="宋体"/>
          <w:color w:val="auto"/>
          <w:szCs w:val="21"/>
        </w:rPr>
        <w:t xml:space="preserve">8.2 保证</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p>
    <w:p>
      <w:pPr>
        <w:ind w:firstLine="420"/>
        <w:jc w:val="left"/>
        <w:spacing w:line="400" w:lineRule="exact"/>
        <w:rPr>
          <w:rFonts w:ascii="宋体" w:hAnsi="宋体"/>
          <w:color w:val="auto"/>
          <w:szCs w:val="21"/>
        </w:rPr>
      </w:pPr>
      <w:r>
        <w:rPr>
          <w:rFonts w:hint="eastAsia" w:ascii="宋体" w:hAnsi="宋体"/>
          <w:color w:val="auto"/>
          <w:szCs w:val="21"/>
        </w:rPr>
        <w:t xml:space="preserve">（2）在质量保证期内所发现的缺陷，甲方应尽快以书面形式通知乙方。</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p>
    <w:p>
      <w:pPr>
        <w:ind w:firstLine="420"/>
        <w:jc w:val="left"/>
        <w:spacing w:line="400" w:lineRule="exact"/>
        <w:rPr>
          <w:rFonts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rPr>
        <w:t xml:space="preserve">5</w:t>
      </w:r>
      <w:r>
        <w:rPr>
          <w:rFonts w:hint="eastAsia" w:ascii="宋体" w:hAnsi="宋体"/>
          <w:color w:val="auto"/>
          <w:szCs w:val="21"/>
        </w:rPr>
        <w:t xml:space="preserve">.1条规定以书面形式</w:t>
      </w:r>
      <w:r>
        <w:rPr>
          <w:rFonts w:hint="eastAsia" w:ascii="宋体" w:hAnsi="宋体"/>
          <w:color w:val="auto"/>
          <w:szCs w:val="21"/>
        </w:rPr>
        <w:t xml:space="preserve">追究</w:t>
      </w:r>
      <w:r>
        <w:rPr>
          <w:rFonts w:hint="eastAsia" w:ascii="宋体" w:hAnsi="宋体"/>
          <w:color w:val="auto"/>
          <w:szCs w:val="21"/>
        </w:rPr>
        <w:t xml:space="preserve">乙方</w:t>
      </w:r>
      <w:r>
        <w:rPr>
          <w:rFonts w:hint="eastAsia" w:ascii="宋体" w:hAnsi="宋体"/>
          <w:color w:val="auto"/>
          <w:szCs w:val="21"/>
        </w:rPr>
        <w:t xml:space="preserve">的违约责任</w:t>
      </w:r>
      <w:r>
        <w:rPr>
          <w:rFonts w:hint="eastAsia" w:ascii="宋体" w:hAnsi="宋体"/>
          <w:color w:val="auto"/>
          <w:szCs w:val="21"/>
        </w:rPr>
        <w:t xml:space="preserve">。</w:t>
      </w:r>
      <w:r/>
    </w:p>
    <w:p>
      <w:pPr>
        <w:ind w:firstLine="420"/>
        <w:jc w:val="left"/>
        <w:spacing w:line="400" w:lineRule="exact"/>
        <w:rPr>
          <w:color w:val="auto"/>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b/>
          <w:bCs/>
          <w:color w:val="auto"/>
          <w:sz w:val="24"/>
        </w:rPr>
        <w:t xml:space="preserve">9</w:t>
      </w:r>
      <w:r>
        <w:rPr>
          <w:rFonts w:hint="eastAsia" w:ascii="宋体" w:hAnsi="宋体"/>
          <w:b/>
          <w:bCs/>
          <w:color w:val="auto"/>
          <w:sz w:val="24"/>
        </w:rPr>
        <w:t xml:space="preserve">.</w:t>
      </w:r>
      <w:r>
        <w:rPr>
          <w:rFonts w:hint="eastAsia" w:ascii="宋体" w:hAnsi="宋体"/>
          <w:b/>
          <w:bCs/>
          <w:color w:val="auto"/>
          <w:sz w:val="24"/>
        </w:rPr>
        <w:t xml:space="preserve"> </w:t>
      </w:r>
      <w:r>
        <w:rPr>
          <w:rFonts w:hint="eastAsia" w:ascii="宋体" w:hAnsi="宋体"/>
          <w:b/>
          <w:bCs/>
          <w:color w:val="auto"/>
          <w:sz w:val="24"/>
        </w:rPr>
        <w:t xml:space="preserve">权利瑕疵担保</w:t>
      </w:r>
      <w:r/>
    </w:p>
    <w:p>
      <w:pPr>
        <w:ind w:firstLine="420"/>
        <w:jc w:val="left"/>
        <w:spacing w:line="400" w:lineRule="exact"/>
        <w:rPr>
          <w:rFonts w:ascii="宋体" w:hAnsi="宋体"/>
          <w:color w:val="auto"/>
          <w:szCs w:val="21"/>
        </w:rPr>
      </w:pPr>
      <w:r>
        <w:rPr>
          <w:rFonts w:hint="eastAsia" w:ascii="宋体" w:hAnsi="宋体"/>
          <w:color w:val="auto"/>
          <w:szCs w:val="21"/>
        </w:rPr>
        <w:t xml:space="preserve">9.1 乙方保证对其出售的货物享有合法的权利。</w:t>
      </w:r>
      <w:r/>
    </w:p>
    <w:p>
      <w:pPr>
        <w:ind w:firstLine="420"/>
        <w:jc w:val="left"/>
        <w:spacing w:line="400" w:lineRule="exac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jc w:val="left"/>
        <w:spacing w:line="400" w:lineRule="exact"/>
        <w:rPr>
          <w:rFonts w:ascii="宋体" w:hAnsi="宋体"/>
          <w:color w:val="auto"/>
          <w:szCs w:val="21"/>
        </w:rPr>
      </w:pPr>
      <w:r>
        <w:rPr>
          <w:rFonts w:hint="eastAsia" w:ascii="宋体" w:hAnsi="宋体"/>
          <w:color w:val="auto"/>
          <w:szCs w:val="21"/>
        </w:rPr>
        <w:t xml:space="preserve">9.3 如甲方使用上述货物构成对第三人侵权的，则由乙方承担全部责任。</w:t>
      </w:r>
      <w:r/>
    </w:p>
    <w:p>
      <w:pPr>
        <w:jc w:val="left"/>
        <w:spacing w:line="400" w:lineRule="exact"/>
        <w:rPr>
          <w:rFonts w:ascii="宋体" w:hAnsi="宋体"/>
          <w:b/>
          <w:bCs/>
          <w:color w:val="auto"/>
          <w:sz w:val="24"/>
        </w:rPr>
      </w:pPr>
      <w:r>
        <w:rPr>
          <w:rFonts w:hint="eastAsia" w:ascii="宋体" w:hAnsi="宋体"/>
          <w:b/>
          <w:bCs/>
          <w:color w:val="auto"/>
          <w:sz w:val="24"/>
        </w:rPr>
        <w:t xml:space="preserve">10. 知识产权保护</w:t>
      </w:r>
      <w:r/>
    </w:p>
    <w:p>
      <w:pPr>
        <w:ind w:firstLine="420"/>
        <w:jc w:val="left"/>
        <w:spacing w:line="400" w:lineRule="exact"/>
        <w:rPr>
          <w:rFonts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w:t>
      </w:r>
      <w:r>
        <w:rPr>
          <w:rFonts w:hint="eastAsia" w:ascii="宋体" w:hAnsi="宋体"/>
          <w:color w:val="auto"/>
          <w:szCs w:val="21"/>
        </w:rPr>
        <w:t xml:space="preserve">何第三人的知识产权等权利。</w:t>
      </w:r>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rPr>
        <w:t xml:space="preserve">。</w:t>
      </w:r>
      <w:r/>
    </w:p>
    <w:p>
      <w:pPr>
        <w:jc w:val="left"/>
        <w:spacing w:line="400" w:lineRule="exact"/>
        <w:rPr>
          <w:rFonts w:ascii="宋体" w:hAnsi="宋体"/>
          <w:b/>
          <w:bCs/>
          <w:color w:val="auto"/>
          <w:sz w:val="24"/>
        </w:rPr>
      </w:pPr>
      <w:r>
        <w:rPr>
          <w:rFonts w:hint="eastAsia" w:ascii="宋体" w:hAnsi="宋体"/>
          <w:b/>
          <w:bCs/>
          <w:color w:val="auto"/>
          <w:sz w:val="24"/>
        </w:rPr>
        <w:t xml:space="preserve">11. 保密义务</w:t>
      </w:r>
      <w:r/>
    </w:p>
    <w:p>
      <w:pPr>
        <w:ind w:firstLine="420"/>
        <w:jc w:val="left"/>
        <w:spacing w:line="400" w:lineRule="exact"/>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12. 合同价款支付</w:t>
      </w:r>
      <w:r/>
    </w:p>
    <w:p>
      <w:pPr>
        <w:ind w:firstLine="420"/>
        <w:jc w:val="left"/>
        <w:spacing w:line="400" w:lineRule="exact"/>
        <w:rPr>
          <w:rFonts w:ascii="宋体" w:hAnsi="宋体"/>
          <w:color w:val="auto"/>
          <w:szCs w:val="21"/>
        </w:rPr>
      </w:pPr>
      <w:r>
        <w:rPr>
          <w:rFonts w:hint="eastAsia" w:ascii="宋体" w:hAnsi="宋体"/>
          <w:color w:val="auto"/>
          <w:szCs w:val="21"/>
        </w:rPr>
        <w:t xml:space="preserve">12.1 合同价款支付按照国库集中支付制度及财政管理相关规定执行。</w:t>
      </w:r>
      <w:r/>
    </w:p>
    <w:p>
      <w:pPr>
        <w:ind w:firstLine="420"/>
        <w:jc w:val="left"/>
        <w:spacing w:line="400" w:lineRule="exact"/>
        <w:rPr>
          <w:rFonts w:ascii="宋体" w:hAnsi="宋体"/>
          <w:color w:val="auto"/>
          <w:szCs w:val="21"/>
        </w:rPr>
      </w:pPr>
      <w:r>
        <w:rPr>
          <w:rFonts w:hint="eastAsia" w:ascii="宋体" w:hAnsi="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 xml:space="preserve">政府采购合同专用条款</w:t>
      </w:r>
      <w:r>
        <w:rPr>
          <w:rFonts w:hint="eastAsia" w:ascii="宋体" w:hAnsi="宋体"/>
          <w:color w:val="auto"/>
          <w:szCs w:val="21"/>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13. 履约保证金</w:t>
      </w:r>
      <w:r/>
    </w:p>
    <w:p>
      <w:pPr>
        <w:ind w:firstLine="420"/>
        <w:jc w:val="left"/>
        <w:spacing w:line="400" w:lineRule="exac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p>
    <w:p>
      <w:pPr>
        <w:jc w:val="left"/>
        <w:spacing w:line="400" w:lineRule="exact"/>
        <w:rPr>
          <w:rFonts w:ascii="宋体" w:hAnsi="宋体"/>
          <w:b/>
          <w:color w:val="auto"/>
          <w:sz w:val="24"/>
        </w:rPr>
      </w:pPr>
      <w:r>
        <w:rPr>
          <w:rFonts w:hint="eastAsia" w:ascii="宋体" w:hAnsi="宋体"/>
          <w:b/>
          <w:bCs/>
          <w:color w:val="auto"/>
          <w:sz w:val="24"/>
        </w:rPr>
        <w:t xml:space="preserve">14. </w:t>
      </w:r>
      <w:r>
        <w:rPr>
          <w:rFonts w:hint="eastAsia"/>
          <w:b/>
          <w:color w:val="auto"/>
          <w:sz w:val="24"/>
        </w:rPr>
        <w:t xml:space="preserve">售后</w:t>
      </w:r>
      <w:r>
        <w:rPr>
          <w:rFonts w:hint="eastAsia" w:ascii="宋体" w:hAnsi="宋体"/>
          <w:b/>
          <w:color w:val="auto"/>
          <w:sz w:val="24"/>
        </w:rPr>
        <w:t xml:space="preserve">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p>
    <w:p>
      <w:pPr>
        <w:ind w:firstLine="420"/>
        <w:jc w:val="left"/>
        <w:spacing w:line="400" w:lineRule="exact"/>
        <w:rPr>
          <w:rFonts w:ascii="宋体" w:hAnsi="宋体"/>
          <w:color w:val="auto"/>
          <w:szCs w:val="21"/>
        </w:rPr>
      </w:pPr>
      <w:r>
        <w:rPr>
          <w:rFonts w:hint="eastAsia" w:ascii="宋体" w:hAnsi="宋体"/>
          <w:color w:val="auto"/>
          <w:szCs w:val="21"/>
        </w:rPr>
        <w:t xml:space="preserve">（1）货物的现场移动、安装、调试、启动监督及技术支持；</w:t>
      </w:r>
      <w:r/>
    </w:p>
    <w:p>
      <w:pPr>
        <w:ind w:firstLine="420"/>
        <w:jc w:val="left"/>
        <w:spacing w:line="400" w:lineRule="exact"/>
        <w:rPr>
          <w:rFonts w:ascii="宋体" w:hAnsi="宋体"/>
          <w:color w:val="auto"/>
          <w:szCs w:val="21"/>
        </w:rPr>
      </w:pPr>
      <w:r>
        <w:rPr>
          <w:rFonts w:hint="eastAsia" w:ascii="宋体" w:hAnsi="宋体"/>
          <w:color w:val="auto"/>
          <w:szCs w:val="21"/>
        </w:rPr>
        <w:t xml:space="preserve">（2）提供货物组装和维修所需的专用工具和辅助材料；</w:t>
      </w:r>
      <w:r/>
    </w:p>
    <w:p>
      <w:pPr>
        <w:ind w:firstLine="420"/>
        <w:jc w:val="left"/>
        <w:spacing w:line="400" w:lineRule="exact"/>
        <w:rPr>
          <w:rFonts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14.2 乙方提供的售后服务的费用已包含在合同价款中，甲方不再另行支付。</w:t>
      </w:r>
      <w:r/>
    </w:p>
    <w:p>
      <w:pPr>
        <w:jc w:val="left"/>
        <w:spacing w:line="400" w:lineRule="exact"/>
        <w:rPr>
          <w:rFonts w:ascii="宋体" w:hAnsi="宋体"/>
          <w:b/>
          <w:bCs/>
          <w:color w:val="auto"/>
          <w:sz w:val="24"/>
        </w:rPr>
      </w:pPr>
      <w:r>
        <w:rPr>
          <w:rFonts w:hint="eastAsia" w:ascii="宋体" w:hAnsi="宋体"/>
          <w:b/>
          <w:bCs/>
          <w:color w:val="auto"/>
          <w:sz w:val="24"/>
        </w:rPr>
        <w:t xml:space="preserve">15. 违约责任</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15.1质量瑕疵的违约责任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15.2 迟延交货的违约责任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rPr>
      </w:pPr>
      <w:r>
        <w:rPr>
          <w:rFonts w:hint="eastAsia" w:ascii="宋体" w:hAnsi="宋体"/>
          <w:color w:val="auto"/>
          <w:szCs w:val="21"/>
        </w:rPr>
        <w:t xml:space="preserve">15.3 迟延支付的违约责任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p>
    <w:p>
      <w:pPr>
        <w:ind w:firstLine="420"/>
        <w:jc w:val="left"/>
        <w:spacing w:line="400" w:lineRule="exact"/>
        <w:rPr>
          <w:rFonts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p>
    <w:p>
      <w:pPr>
        <w:numPr>
          <w:ilvl w:val="0"/>
          <w:numId w:val="7"/>
        </w:numPr>
        <w:jc w:val="left"/>
        <w:spacing w:line="400" w:lineRule="exact"/>
        <w:rPr>
          <w:rFonts w:ascii="宋体" w:hAnsi="宋体"/>
          <w:b/>
          <w:color w:val="auto"/>
          <w:sz w:val="24"/>
        </w:rPr>
      </w:pPr>
      <w:r>
        <w:rPr>
          <w:rFonts w:hint="eastAsia" w:ascii="宋体" w:hAnsi="宋体"/>
          <w:b/>
          <w:color w:val="auto"/>
          <w:sz w:val="24"/>
        </w:rPr>
        <w:t xml:space="preserve">合同变更、中止与终止</w:t>
      </w:r>
      <w:r/>
    </w:p>
    <w:p>
      <w:pPr>
        <w:jc w:val="left"/>
        <w:spacing w:line="400" w:lineRule="exact"/>
        <w:rPr>
          <w:rFonts w:ascii="宋体" w:hAnsi="宋体"/>
          <w:color w:val="auto"/>
          <w:szCs w:val="21"/>
        </w:rPr>
      </w:pPr>
      <w:r>
        <w:rPr>
          <w:rFonts w:hint="eastAsia" w:ascii="宋体" w:hAnsi="宋体"/>
          <w:color w:val="auto"/>
          <w:szCs w:val="21"/>
        </w:rPr>
        <w:t xml:space="preserve">    16.1合同的变更</w:t>
      </w:r>
      <w:r/>
    </w:p>
    <w:p>
      <w:pPr>
        <w:ind w:firstLine="420"/>
        <w:jc w:val="left"/>
        <w:spacing w:line="400" w:lineRule="exact"/>
        <w:rPr>
          <w:rFonts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rPr>
      </w:pPr>
      <w:r>
        <w:rPr>
          <w:rFonts w:hint="eastAsia" w:ascii="宋体" w:hAnsi="宋体"/>
          <w:color w:val="auto"/>
          <w:szCs w:val="21"/>
        </w:rPr>
        <w:t xml:space="preserve">16.2合同的中止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rPr>
      </w:pPr>
      <w:r>
        <w:rPr>
          <w:rFonts w:hint="eastAsia" w:ascii="宋体" w:hAnsi="宋体"/>
          <w:color w:val="auto"/>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olor w:val="auto"/>
          <w:szCs w:val="21"/>
        </w:rPr>
        <w:t xml:space="preserve">16.3合同的终止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（1）合同因有效期限届满而终止；</w:t>
      </w:r>
      <w:r/>
    </w:p>
    <w:p>
      <w:pPr>
        <w:ind w:firstLine="420"/>
        <w:spacing w:line="400" w:lineRule="exact"/>
        <w:rPr>
          <w:rFonts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p>
    <w:p>
      <w:pPr>
        <w:pStyle w:val="1036"/>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 xml:space="preserve">涉及国家利益、社会公共利益的情形</w:t>
      </w:r>
      <w:r/>
    </w:p>
    <w:p>
      <w:pPr>
        <w:pStyle w:val="1036"/>
        <w:ind w:firstLine="420"/>
        <w:jc w:val="both"/>
        <w:rPr>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rPr>
      </w:pPr>
      <w:r>
        <w:rPr>
          <w:rFonts w:hint="eastAsia" w:ascii="宋体" w:hAnsi="宋体"/>
          <w:b/>
          <w:bCs/>
          <w:color w:val="auto"/>
          <w:sz w:val="24"/>
        </w:rPr>
        <w:t xml:space="preserve">17. 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rPr>
      </w:pPr>
      <w:r>
        <w:rPr>
          <w:rFonts w:hint="eastAsia" w:ascii="宋体" w:hAnsi="宋体"/>
          <w:b/>
          <w:bCs/>
          <w:color w:val="auto"/>
          <w:sz w:val="24"/>
        </w:rPr>
        <w:t xml:space="preserve">18. 不可抗力</w:t>
      </w:r>
      <w:r/>
    </w:p>
    <w:p>
      <w:pPr>
        <w:ind w:firstLine="420"/>
        <w:jc w:val="left"/>
        <w:spacing w:line="400" w:lineRule="exact"/>
        <w:rPr>
          <w:rFonts w:ascii="宋体" w:hAnsi="宋体"/>
          <w:color w:val="auto"/>
          <w:szCs w:val="21"/>
        </w:rPr>
      </w:pPr>
      <w:r>
        <w:rPr>
          <w:rFonts w:hint="eastAsia" w:ascii="宋体" w:hAnsi="宋体"/>
          <w:color w:val="auto"/>
          <w:szCs w:val="21"/>
        </w:rPr>
        <w:t xml:space="preserve">18.1 不可抗力是指合同双方不能预见、不能避免且不能克服的客观情况。</w:t>
      </w:r>
      <w:r/>
    </w:p>
    <w:p>
      <w:pPr>
        <w:ind w:firstLine="420"/>
        <w:jc w:val="left"/>
        <w:spacing w:line="400" w:lineRule="exact"/>
        <w:rPr>
          <w:rFonts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rPr>
      </w:pPr>
      <w:r>
        <w:rPr>
          <w:rFonts w:hint="eastAsia" w:ascii="宋体" w:hAnsi="宋体"/>
          <w:b/>
          <w:bCs/>
          <w:color w:val="auto"/>
          <w:sz w:val="24"/>
        </w:rPr>
        <w:t xml:space="preserve">19. 解决争议的方法</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rPr>
      </w:pPr>
      <w:r>
        <w:rPr>
          <w:rFonts w:hint="eastAsia" w:ascii="宋体" w:hAnsi="宋体"/>
          <w:b/>
          <w:color w:val="auto"/>
          <w:sz w:val="24"/>
        </w:rPr>
        <w:t xml:space="preserve">20. 政府采购政策</w:t>
      </w:r>
      <w:r/>
    </w:p>
    <w:p>
      <w:pPr>
        <w:ind w:firstLine="420"/>
        <w:jc w:val="left"/>
        <w:spacing w:line="400" w:lineRule="exac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b/>
          <w:color w:val="auto"/>
          <w:sz w:val="24"/>
        </w:rPr>
        <w:t xml:space="preserve">21. 法律适用</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rPr>
      </w:pPr>
      <w:r>
        <w:rPr>
          <w:rFonts w:hint="eastAsia" w:ascii="宋体" w:hAnsi="宋体"/>
          <w:b/>
          <w:color w:val="auto"/>
          <w:sz w:val="24"/>
        </w:rPr>
        <w:t xml:space="preserve">22. 通知</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rPr>
      </w:pPr>
      <w:r>
        <w:rPr>
          <w:rFonts w:hint="eastAsia" w:ascii="宋体" w:hAnsi="宋体"/>
          <w:b/>
          <w:bCs/>
          <w:color w:val="auto"/>
          <w:sz w:val="24"/>
        </w:rPr>
        <w:t xml:space="preserve">合同未尽事项</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p>
    <w:p>
      <w:pPr>
        <w:jc w:val="left"/>
        <w:spacing w:line="400" w:lineRule="exac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r/>
    </w:p>
    <w:p>
      <w:pPr>
        <w:jc w:val="center"/>
        <w:rPr>
          <w:rFonts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77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第1.2（7）项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其他术语解释</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第4.6款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约定甲方承担的其他义务和责任</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color w:val="auto"/>
              </w:rPr>
            </w:pPr>
            <w:r>
              <w:rPr>
                <w:rFonts w:hint="eastAsia" w:ascii="宋体" w:hAnsi="宋体"/>
                <w:color w:val="auto"/>
                <w:szCs w:val="21"/>
              </w:rPr>
              <w:t xml:space="preserve">第5.4款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第6.1款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履行合同义务的顺序</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指定现场</w:t>
            </w:r>
            <w:r/>
          </w:p>
        </w:tc>
        <w:tc>
          <w:tcPr>
            <w:tcW w:w="5170" w:type="dxa"/>
            <w:vAlign w:val="center"/>
            <w:textDirection w:val="lrTb"/>
            <w:noWrap w:val="false"/>
          </w:tcPr>
          <w:p>
            <w:pPr>
              <w:jc w:val="left"/>
              <w:rPr>
                <w:color w:val="auto"/>
              </w:rPr>
            </w:pPr>
            <w:r>
              <w:rPr>
                <w:rFonts w:hint="eastAsia" w:ascii="宋体" w:hAnsi="宋体" w:cs="宋体"/>
                <w:color w:val="auto"/>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运输特殊要求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保险要求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第8.2（1）项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质量保证期</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rPr>
              <w:t xml:space="preserve">不低于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年。一年内发现设备缺陷等质量问题，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货物质量缺陷</w:t>
            </w:r>
            <w:r/>
          </w:p>
          <w:p>
            <w:pPr>
              <w:jc w:val="left"/>
              <w:rPr>
                <w:rFonts w:ascii="宋体" w:hAnsi="宋体"/>
                <w:color w:val="auto"/>
                <w:szCs w:val="21"/>
              </w:rPr>
            </w:pPr>
            <w:r>
              <w:rPr>
                <w:rFonts w:hint="eastAsia" w:ascii="宋体" w:hAnsi="宋体"/>
                <w:color w:val="auto"/>
                <w:szCs w:val="21"/>
              </w:rPr>
              <w:t xml:space="preserve">响应时间</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在接到报修后2小时内初步响应，24小时内提供解决方案。</w:t>
            </w:r>
            <w:r>
              <w:rPr>
                <w:rFonts w:hint="eastAsia" w:ascii="宋体" w:hAnsi="宋体"/>
                <w:color w:val="auto"/>
                <w:szCs w:val="21"/>
                <w:highlight w:val="none"/>
              </w:rPr>
              <w:t xml:space="preserve">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pStyle w:val="1036"/>
              <w:ind w:firstLine="0"/>
              <w:jc w:val="center"/>
              <w:rPr>
                <w:color w:val="auto"/>
              </w:rPr>
            </w:pPr>
            <w:r>
              <w:rPr>
                <w:rFonts w:hint="eastAsia" w:ascii="宋体" w:hAnsi="宋体" w:eastAsia="宋体" w:cs="宋体"/>
                <w:color w:val="auto"/>
              </w:rPr>
              <w:t xml:space="preserve">第11.1款</w:t>
            </w:r>
            <w:r/>
          </w:p>
        </w:tc>
        <w:tc>
          <w:tcPr>
            <w:tcW w:w="1742" w:type="dxa"/>
            <w:vAlign w:val="center"/>
            <w:textDirection w:val="lrTb"/>
            <w:noWrap w:val="false"/>
          </w:tcPr>
          <w:p>
            <w:pPr>
              <w:rPr>
                <w:rFonts w:ascii="宋体" w:hAnsi="宋体"/>
                <w:color w:val="auto"/>
                <w:szCs w:val="21"/>
              </w:rPr>
            </w:pPr>
            <w:r>
              <w:rPr>
                <w:rFonts w:hint="eastAsia" w:ascii="宋体" w:hAnsi="宋体"/>
                <w:color w:val="auto"/>
                <w:szCs w:val="21"/>
              </w:rPr>
              <w:t xml:space="preserve">其他应当保密的信息</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履约保证金不予退还的情形</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运行监督、维修期限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第14.1（5）项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货物回收的约定</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乙方提供的其他服务</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修理、重作、更换相关具体规定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第15.2（2）项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迟延交货赔偿费</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逾期付款利息</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第23.1款</w:t>
            </w:r>
            <w:r/>
          </w:p>
        </w:tc>
        <w:tc>
          <w:tcPr>
            <w:tcW w:w="1742" w:type="dxa"/>
            <w:vAlign w:val="center"/>
            <w:textDirection w:val="lrTb"/>
            <w:noWrap w:val="false"/>
          </w:tcPr>
          <w:p>
            <w:pPr>
              <w:jc w:val="left"/>
              <w:rPr>
                <w:rFonts w:ascii="宋体" w:hAnsi="宋体"/>
                <w:color w:val="auto"/>
                <w:szCs w:val="21"/>
              </w:rPr>
            </w:pPr>
            <w:r>
              <w:rPr>
                <w:rFonts w:hint="eastAsia" w:ascii="宋体" w:hAnsi="宋体"/>
                <w:bCs/>
                <w:color w:val="auto"/>
                <w:szCs w:val="21"/>
              </w:rPr>
              <w:t xml:space="preserve">其他专用条款</w:t>
            </w:r>
            <w:r/>
          </w:p>
        </w:tc>
        <w:tc>
          <w:tcPr>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7"/>
      <w:r/>
      <w:bookmarkEnd w:id="128"/>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投标人名称 ：（盖CA电子公章）</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 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  </w:t>
      </w:r>
      <w:r>
        <w:rPr>
          <w:rFonts w:hint="eastAsia" w:ascii="宋体" w:cs="宋体"/>
          <w:b/>
          <w:bCs/>
          <w:color w:val="auto"/>
          <w:highlight w:val="none"/>
          <w:u w:val="single"/>
          <w:lang w:bidi="ar-SA"/>
        </w:rPr>
        <w:t xml:space="preserve">               </w:t>
      </w:r>
      <w:r>
        <w:rPr>
          <w:rFonts w:hint="eastAsia" w:ascii="宋体" w:cs="宋体"/>
          <w:b/>
          <w:bCs/>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w:t>
      </w:r>
      <w:r>
        <w:rPr>
          <w:rFonts w:hint="eastAsia" w:ascii="宋体" w:cs="宋体"/>
          <w:color w:val="auto"/>
          <w:sz w:val="24"/>
          <w:highlight w:val="none"/>
          <w:lang w:bidi="ar-SA"/>
        </w:rPr>
        <w:t xml:space="preserve">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8"/>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9"/>
        <w:spacing w:line="440" w:lineRule="exact"/>
        <w:rPr>
          <w:rFonts w:hint="eastAsia" w:ascii="宋体" w:eastAsia="宋体" w:cs="宋体"/>
          <w:color w:val="auto"/>
          <w:highlight w:val="none"/>
          <w:lang w:bidi="ar-SA"/>
        </w:rPr>
      </w:pPr>
      <w:r/>
      <w:bookmarkStart w:id="129" w:name="_Toc23838"/>
      <w:r/>
      <w:bookmarkEnd w:id="129"/>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40"/>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0" w:name="_Toc120614284"/>
      <w:r/>
      <w:r/>
    </w:p>
    <w:p>
      <w:pPr>
        <w:pStyle w:val="1040"/>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40"/>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40"/>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1039"/>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1022"/>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102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43"/>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43"/>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1" w:name="_Hlt26671380"/>
      <w:r/>
      <w:bookmarkEnd w:id="131"/>
      <w:r/>
      <w:bookmarkStart w:id="132" w:name="_格式3__银行出具的资信证明"/>
      <w:r/>
      <w:bookmarkEnd w:id="132"/>
      <w:r/>
      <w:bookmarkStart w:id="133" w:name="_Hlt26955070"/>
      <w:r/>
      <w:bookmarkEnd w:id="133"/>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44"/>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263" w:type="dxa"/>
            <w:vAlign w:val="top"/>
            <w:textDirection w:val="lrTb"/>
            <w:noWrap w:val="false"/>
          </w:tcPr>
          <w:p>
            <w:pPr>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trHeight w:val="767"/>
        </w:trPr>
        <w:tc>
          <w:tcPr>
            <w:gridSpan w:val="10"/>
            <w:tcW w:w="9263" w:type="dxa"/>
            <w:vAlign w:val="top"/>
            <w:textDirection w:val="lrTb"/>
            <w:noWrap w:val="false"/>
          </w:tcPr>
          <w:p>
            <w:pPr>
              <w:pStyle w:val="797"/>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pStyle w:val="1008"/>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45"/>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lang w:val="en-US" w:eastAsia="zh-CN" w:bidi="ar-SA"/>
        </w:rPr>
        <w:t xml:space="preserve">2.</w:t>
      </w:r>
      <w:r>
        <w:rPr>
          <w:rFonts w:hint="eastAsia" w:ascii="宋体" w:hAnsi="Calibri" w:eastAsia="宋体" w:cs="Times New Roman"/>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4"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55"/>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4"/>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w:t>
      </w:r>
      <w:r>
        <w:rPr>
          <w:rFonts w:hint="eastAsia" w:ascii="宋体" w:hAnsi="宋体"/>
          <w:color w:val="auto"/>
          <w:sz w:val="24"/>
          <w:szCs w:val="24"/>
          <w:u w:val="single"/>
        </w:rPr>
        <w:t xml:space="preserve">（项目名称）（采购包号：**）</w:t>
      </w:r>
      <w:r>
        <w:rPr>
          <w:rFonts w:hint="eastAsia" w:ascii="宋体" w:hAnsi="宋体"/>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5" w:name="_Toc158125008"/>
      <w:r/>
      <w:bookmarkStart w:id="136" w:name="_Toc18617"/>
      <w:r/>
      <w:bookmarkStart w:id="137" w:name="_Toc158133337"/>
      <w:r/>
      <w:bookmarkStart w:id="138" w:name="_Toc158281568"/>
      <w:r>
        <w:rPr>
          <w:rFonts w:hint="eastAsia" w:eastAsia="黑体"/>
          <w:color w:val="auto"/>
          <w:sz w:val="32"/>
          <w:szCs w:val="32"/>
          <w:highlight w:val="none"/>
        </w:rPr>
        <w:t xml:space="preserve">残疾人福利性单位声明函</w:t>
      </w:r>
      <w:bookmarkEnd w:id="135"/>
      <w:r/>
      <w:bookmarkEnd w:id="136"/>
      <w:r/>
      <w:bookmarkEnd w:id="137"/>
      <w:r/>
      <w:bookmarkEnd w:id="138"/>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4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50"/>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5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51"/>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51"/>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05"/>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52"/>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39" w:name="_Toc11176"/>
      <w:r>
        <w:rPr>
          <w:rFonts w:hint="eastAsia" w:ascii="宋体" w:cs="宋体"/>
          <w:b/>
          <w:color w:val="auto"/>
          <w:sz w:val="24"/>
          <w:highlight w:val="none"/>
          <w:lang w:bidi="ar-SA"/>
        </w:rPr>
        <w:t xml:space="preserve">十、</w:t>
      </w:r>
      <w:bookmarkEnd w:id="139"/>
      <w:r>
        <w:rPr>
          <w:rFonts w:hint="eastAsia" w:ascii="宋体" w:cs="宋体"/>
          <w:b/>
          <w:color w:val="auto"/>
          <w:sz w:val="24"/>
          <w:highlight w:val="none"/>
          <w:lang w:bidi="ar-SA"/>
        </w:rPr>
        <w:t xml:space="preserve">企业业绩</w:t>
      </w:r>
      <w:r/>
    </w:p>
    <w:p>
      <w:pPr>
        <w:pStyle w:val="1053"/>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53"/>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55"/>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0"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7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w:t>
      </w:r>
      <w:r>
        <w:rPr>
          <w:rStyle w:val="972"/>
          <w:rFonts w:hint="eastAsia" w:ascii="宋体" w:cs="宋体"/>
          <w:i w:val="0"/>
          <w:strike/>
          <w:color w:val="auto"/>
          <w:sz w:val="24"/>
          <w:szCs w:val="24"/>
          <w:highlight w:val="none"/>
          <w:u w:val="single"/>
          <w:shd w:val="clear" w:color="auto" w:fill="ffffff"/>
          <w:lang w:val="en-US" w:eastAsia="zh-CN" w:bidi="ar-SA"/>
        </w:rPr>
        <w:t xml:space="preserve">2</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55"/>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rPr>
          <w:rFonts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十</w:t>
      </w:r>
      <w:r>
        <w:rPr>
          <w:rFonts w:hint="eastAsia" w:ascii="方正仿宋_GBK" w:hAnsi="方正仿宋_GBK" w:eastAsia="方正仿宋_GBK" w:cs="方正仿宋_GBK"/>
          <w:b/>
          <w:color w:val="auto"/>
          <w:sz w:val="32"/>
          <w:szCs w:val="32"/>
          <w:lang w:val="en-US" w:eastAsia="zh-CN"/>
        </w:rPr>
        <w:t xml:space="preserve">四</w:t>
      </w:r>
      <w:r>
        <w:rPr>
          <w:rFonts w:hint="eastAsia" w:ascii="方正仿宋_GBK" w:hAnsi="方正仿宋_GBK" w:eastAsia="方正仿宋_GBK" w:cs="方正仿宋_GBK"/>
          <w:b/>
          <w:color w:val="auto"/>
          <w:sz w:val="32"/>
          <w:szCs w:val="32"/>
        </w:rPr>
        <w:t xml:space="preserve">、分包意向协议</w:t>
      </w:r>
      <w:r/>
    </w:p>
    <w:p>
      <w:pPr>
        <w:pStyle w:val="1055"/>
        <w:jc w:val="center"/>
        <w:spacing w:line="500" w:lineRule="exact"/>
        <w:rPr>
          <w:rFonts w:ascii="方正仿宋_GBK" w:hAnsi="方正仿宋_GBK" w:eastAsia="方正仿宋_GBK" w:cs="方正仿宋_GBK"/>
          <w:bCs/>
          <w:color w:val="auto"/>
          <w:szCs w:val="32"/>
        </w:rPr>
      </w:pPr>
      <w:r>
        <w:rPr>
          <w:rFonts w:hint="eastAsia" w:ascii="方正仿宋_GBK" w:hAnsi="方正仿宋_GBK" w:eastAsia="方正仿宋_GBK" w:cs="方正仿宋_GBK"/>
          <w:bCs/>
          <w:color w:val="auto"/>
          <w:szCs w:val="32"/>
        </w:rPr>
        <w:t xml:space="preserve">分包意向协议书</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立约方：</w:t>
      </w:r>
      <w:r>
        <w:rPr>
          <w:rFonts w:ascii="方正仿宋_GBK" w:hAnsi="方正仿宋_GBK" w:eastAsia="方正仿宋_GBK" w:cs="方正仿宋_GBK"/>
          <w:color w:val="auto"/>
          <w:sz w:val="24"/>
          <w:szCs w:val="24"/>
          <w:u w:val="single"/>
        </w:rPr>
        <w:t xml:space="preserve">（甲公司全称）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（乙公司全称）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（甲公司全称）、（乙公司全称）、（…      …公司全称）</w:t>
      </w:r>
      <w:r>
        <w:rPr>
          <w:rFonts w:ascii="方正仿宋_GBK" w:hAnsi="方正仿宋_GBK" w:eastAsia="方正仿宋_GBK" w:cs="方正仿宋_GBK"/>
          <w:color w:val="auto"/>
          <w:sz w:val="24"/>
          <w:szCs w:val="24"/>
        </w:rPr>
        <w:t xml:space="preserve">自愿达成分包意向，参加</w:t>
      </w:r>
      <w:r>
        <w:rPr>
          <w:rFonts w:ascii="方正仿宋_GBK" w:hAnsi="方正仿宋_GBK" w:eastAsia="方正仿宋_GBK" w:cs="方正仿宋_GBK"/>
          <w:color w:val="auto"/>
          <w:sz w:val="24"/>
          <w:szCs w:val="24"/>
          <w:u w:val="single"/>
        </w:rPr>
        <w:t xml:space="preserve">                    （采购项目名称）         （采购项目编号）</w:t>
      </w:r>
      <w:r>
        <w:rPr>
          <w:rFonts w:ascii="方正仿宋_GBK" w:hAnsi="方正仿宋_GBK" w:eastAsia="方正仿宋_GBK" w:cs="方正仿宋_GBK"/>
          <w:color w:val="auto"/>
          <w:sz w:val="24"/>
          <w:szCs w:val="24"/>
        </w:rPr>
        <w:t xml:space="preserve">的响应活动。经各方充分协商一致，就项目的响应和合同实施阶段的有关事务协商一致订立意向如下：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一、分包意向各方关系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（甲公司全称）为投标方、（乙公司全称）、（…   …公司全称）</w:t>
      </w:r>
      <w:r>
        <w:rPr>
          <w:rFonts w:ascii="方正仿宋_GBK" w:hAnsi="方正仿宋_GBK" w:eastAsia="方正仿宋_GBK" w:cs="方正仿宋_GBK"/>
          <w:color w:val="auto"/>
          <w:sz w:val="24"/>
          <w:szCs w:val="24"/>
        </w:rPr>
        <w:t xml:space="preserve">为分包意向供应商，</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以投标供应商的身份参加本项目的响应。若中标，（甲公司全称）与招标人签订政府采购合同。承接分包意向的各供应商与（甲公司全称）签订分包合同。</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（甲公司全称）就采购项目和分包项目向招标人负责，分包供应商就分包项目承担责任。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二、有关事项约定如下：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1.如中标，分包供应商分别与</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签订合同书，并就中标项目分包部分向招标人负责有连带的和各自的法律责任；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1（公司全称）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 （具体分包内容）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3.分包意向供应商</w:t>
      </w:r>
      <w:r>
        <w:rPr>
          <w:rFonts w:ascii="方正仿宋_GBK" w:hAnsi="方正仿宋_GBK" w:eastAsia="方正仿宋_GBK" w:cs="方正仿宋_GBK"/>
          <w:color w:val="auto"/>
          <w:sz w:val="24"/>
          <w:szCs w:val="24"/>
          <w:u w:val="single"/>
        </w:rPr>
        <w:t xml:space="preserve">2（公司全称）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三、接受分包的企业与分包企业之间的关系：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1.分包意向供应商</w:t>
      </w:r>
      <w:r>
        <w:rPr>
          <w:rFonts w:ascii="方正仿宋_GBK" w:hAnsi="方正仿宋_GBK" w:eastAsia="方正仿宋_GBK" w:cs="方正仿宋_GBK"/>
          <w:color w:val="auto"/>
          <w:sz w:val="24"/>
          <w:szCs w:val="24"/>
          <w:u w:val="single"/>
        </w:rPr>
        <w:t xml:space="preserve"> 1（公司全称）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 2（公司全称）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四、如因违约过失责任而导致招标人经济损失或被索赔时，</w:t>
      </w:r>
      <w:r>
        <w:rPr>
          <w:rFonts w:ascii="方正仿宋_GBK" w:hAnsi="方正仿宋_GBK" w:eastAsia="方正仿宋_GBK" w:cs="方正仿宋_GBK"/>
          <w:color w:val="auto"/>
          <w:sz w:val="24"/>
          <w:szCs w:val="24"/>
          <w:u w:val="single"/>
        </w:rPr>
        <w:t xml:space="preserve">（甲公司全称）</w:t>
      </w:r>
      <w:r>
        <w:rPr>
          <w:rFonts w:ascii="方正仿宋_GBK" w:hAnsi="方正仿宋_GBK" w:eastAsia="方正仿宋_GBK" w:cs="方正仿宋_GBK"/>
          <w:color w:val="auto"/>
          <w:sz w:val="24"/>
          <w:szCs w:val="24"/>
        </w:rPr>
        <w:t xml:space="preserve">同意无条件优先清偿招标人的一切债务和经济赔偿。</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五、如中标，分包意向供应商不得以任何理由提出终止本意向协议。</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六、本意向书自签署之日起生效，有效期内有效，如获中标资格，有效期延续至合同履行完毕之日。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七、本意向书正本一式</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份，随投标文件装订</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份，（甲公司全称）及各分包意向供应商各一份。</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甲公司全称：（盖章）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乙公司全称：（盖章）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 </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注：</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1.各方成员应在本意向书上共同盖章确认。</w:t>
      </w:r>
      <w:r/>
    </w:p>
    <w:p>
      <w:pPr>
        <w:pStyle w:val="1079"/>
        <w:ind w:firstLine="482"/>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b/>
          <w:bCs/>
          <w:color w:val="auto"/>
          <w:sz w:val="24"/>
          <w:szCs w:val="24"/>
        </w:rPr>
        <w:t xml:space="preserve">2.本意向书内容将作为签订合同的附件之一。</w:t>
      </w:r>
      <w:r/>
    </w:p>
    <w:p>
      <w:pPr>
        <w:rPr>
          <w:rFonts w:hint="eastAsia" w:ascii="宋体" w:eastAsia="宋体" w:cs="宋体"/>
          <w:color w:val="auto"/>
          <w:sz w:val="24"/>
          <w:highlight w:val="none"/>
          <w:lang w:bidi="ar-SA"/>
        </w:rPr>
      </w:pPr>
      <w:r>
        <w:rPr>
          <w:rFonts w:hint="eastAsia" w:ascii="宋体" w:eastAsia="宋体" w:cs="宋体"/>
          <w:color w:val="auto"/>
          <w:sz w:val="24"/>
          <w:highlight w:val="none"/>
          <w:lang w:bidi="ar-SA"/>
        </w:rPr>
        <w:br w:type="page" w:clear="all"/>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五</w:t>
      </w:r>
      <w:r>
        <w:rPr>
          <w:rFonts w:hint="eastAsia" w:ascii="宋体" w:eastAsia="宋体" w:cs="宋体"/>
          <w:color w:val="auto"/>
          <w:sz w:val="24"/>
          <w:highlight w:val="none"/>
          <w:lang w:bidi="ar-SA"/>
        </w:rPr>
        <w:t xml:space="preserve">、投标所需其他材料</w:t>
      </w:r>
      <w:bookmarkEnd w:id="140"/>
      <w:r/>
      <w:r/>
    </w:p>
    <w:p>
      <w:pPr>
        <w:pStyle w:val="1056"/>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30"/>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ind w:firstLine="0"/>
        <w:spacing w:line="440" w:lineRule="exact"/>
        <w:rPr>
          <w:rFonts w:hint="eastAsia" w:ascii="宋体" w:cs="宋体"/>
          <w:color w:val="auto"/>
          <w:sz w:val="24"/>
          <w:highlight w:val="none"/>
          <w:lang w:bidi="ar-SA"/>
        </w:rPr>
      </w:pPr>
      <w:r/>
      <w:bookmarkStart w:id="141" w:name="_Hlt26609389"/>
      <w:r/>
      <w:bookmarkEnd w:id="141"/>
      <w:r/>
      <w:bookmarkStart w:id="142" w:name="_Hlt26671374"/>
      <w:r/>
      <w:bookmarkEnd w:id="142"/>
      <w:r/>
      <w:bookmarkStart w:id="143" w:name="_Hlt26955066"/>
      <w:r/>
      <w:bookmarkEnd w:id="143"/>
      <w:r/>
      <w:bookmarkStart w:id="144"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bookmarkEnd w:id="144"/>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5" w:name="_格式2__法定代表人授权书"/>
      <w:r/>
      <w:bookmarkEnd w:id="145"/>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0"/>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幼圆">
    <w:panose1 w:val="020105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
  </w:num>
  <w:num w:numId="5">
    <w:abstractNumId w:val="4"/>
  </w:num>
  <w:num w:numId="6">
    <w:abstractNumId w:val="5"/>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72"/>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next w:val="781"/>
    <w:uiPriority w:val="0"/>
    <w:unhideWhenUsed/>
    <w:qFormat/>
    <w:pPr>
      <w:ind w:left="420"/>
      <w:spacing w:after="120"/>
    </w:pPr>
  </w:style>
  <w:style w:type="paragraph" w:styleId="781">
    <w:name w:val="envelope return"/>
    <w:basedOn w:val="764"/>
    <w:uiPriority w:val="0"/>
    <w:qFormat/>
    <w:rPr>
      <w:rFonts w:ascii="Arial" w:hAnsi="Arial"/>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uiPriority w:val="0"/>
    <w:qFormat/>
    <w:rPr>
      <w:rFonts w:ascii="宋体" w:hAnsi="Courier New" w:eastAsia="宋体" w:cs="Courier New"/>
      <w:szCs w:val="21"/>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uiPriority w:val="99"/>
    <w:semiHidden/>
    <w:unhideWhenUsed/>
    <w:qFormat/>
    <w:pPr>
      <w:spacing w:after="0" w:line="240" w:lineRule="auto"/>
    </w:pPr>
    <w:rPr>
      <w:sz w:val="20"/>
    </w:rPr>
  </w:style>
  <w:style w:type="paragraph" w:styleId="787">
    <w:name w:val="Footer"/>
    <w:basedOn w:val="764"/>
    <w:link w:val="812"/>
    <w:uiPriority w:val="99"/>
    <w:unhideWhenUsed/>
    <w:qFormat/>
    <w:pPr>
      <w:spacing w:after="0" w:line="240" w:lineRule="auto"/>
      <w:tabs>
        <w:tab w:val="center" w:pos="7143" w:leader="none"/>
        <w:tab w:val="right" w:pos="14287" w:leader="none"/>
      </w:tabs>
    </w:pPr>
  </w:style>
  <w:style w:type="paragraph" w:styleId="788">
    <w:name w:val="Header"/>
    <w:basedOn w:val="764"/>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uiPriority w:val="11"/>
    <w:qFormat/>
    <w:pPr>
      <w:spacing w:before="200" w:after="200"/>
    </w:pPr>
    <w:rPr>
      <w:sz w:val="24"/>
      <w:szCs w:val="24"/>
    </w:rPr>
  </w:style>
  <w:style w:type="paragraph" w:styleId="792">
    <w:name w:val="footnote text"/>
    <w:basedOn w:val="764"/>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Title"/>
    <w:basedOn w:val="764"/>
    <w:next w:val="764"/>
    <w:uiPriority w:val="10"/>
    <w:qFormat/>
    <w:pPr>
      <w:contextualSpacing/>
      <w:spacing w:before="300" w:after="200"/>
    </w:pPr>
    <w:rPr>
      <w:sz w:val="48"/>
      <w:szCs w:val="48"/>
    </w:rPr>
  </w:style>
  <w:style w:type="paragraph" w:styleId="799">
    <w:name w:val="Body Text First Indent 2"/>
    <w:basedOn w:val="780"/>
    <w:next w:val="764"/>
    <w:uiPriority w:val="99"/>
    <w:qFormat/>
    <w:pPr>
      <w:ind w:firstLine="420"/>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Default"/>
    <w:next w:val="805"/>
    <w:uiPriority w:val="0"/>
    <w:qFormat/>
    <w:pPr>
      <w:widowControl w:val="off"/>
    </w:pPr>
    <w:rPr>
      <w:rFonts w:ascii="宋体" w:hAnsi="Times New Roman" w:eastAsia="宋体" w:cs="宋体"/>
      <w:color w:val="000000"/>
      <w:sz w:val="24"/>
      <w:szCs w:val="24"/>
      <w:lang w:val="en-US" w:eastAsia="zh-CN" w:bidi="ar-SA"/>
    </w:rPr>
  </w:style>
  <w:style w:type="paragraph" w:styleId="805" w:customStyle="1">
    <w:name w:val="大标题"/>
    <w:basedOn w:val="764"/>
    <w:next w:val="799"/>
    <w:uiPriority w:val="0"/>
    <w:qFormat/>
    <w:pPr>
      <w:jc w:val="center"/>
    </w:pPr>
    <w:rPr>
      <w:rFonts w:ascii="Arial" w:hAnsi="Arial"/>
      <w:b/>
      <w:sz w:val="28"/>
    </w:rPr>
  </w:style>
  <w:style w:type="paragraph" w:styleId="806" w:customStyle="1">
    <w:name w:val="正文文本11"/>
    <w:basedOn w:val="764"/>
    <w:next w:val="807"/>
    <w:uiPriority w:val="0"/>
    <w:qFormat/>
    <w:rPr>
      <w:rFonts w:ascii="楷体_GB2312" w:eastAsia="楷体_GB2312"/>
      <w:sz w:val="28"/>
      <w:szCs w:val="28"/>
    </w:rPr>
  </w:style>
  <w:style w:type="paragraph" w:styleId="807" w:customStyle="1">
    <w:name w:val="正文缩进11"/>
    <w:basedOn w:val="764"/>
    <w:next w:val="764"/>
    <w:uiPriority w:val="0"/>
    <w:qFormat/>
    <w:pPr>
      <w:ind w:firstLine="420"/>
    </w:pPr>
    <w:rPr>
      <w:rFonts w:ascii="宋体"/>
      <w:color w:val="000000"/>
      <w:sz w:val="24"/>
      <w:szCs w:val="20"/>
    </w:rPr>
  </w:style>
  <w:style w:type="paragraph" w:styleId="808">
    <w:name w:val="List Paragraph"/>
    <w:basedOn w:val="764"/>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Symbol" w:cs="Times New Roman"/>
    </w:rPr>
  </w:style>
  <w:style w:type="paragraph" w:styleId="810">
    <w:name w:val="Quote"/>
    <w:basedOn w:val="764"/>
    <w:next w:val="764"/>
    <w:uiPriority w:val="29"/>
    <w:qFormat/>
    <w:pPr>
      <w:ind w:left="720" w:right="720"/>
    </w:pPr>
    <w:rPr>
      <w:i/>
    </w:rPr>
  </w:style>
  <w:style w:type="paragraph" w:styleId="811">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Footer Char"/>
    <w:link w:val="787"/>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8"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9"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40"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41"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42"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43"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4"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5"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6"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7" w:customStyle="1">
    <w:name w:val="默认段落字体111"/>
    <w:link w:val="764"/>
    <w:uiPriority w:val="0"/>
    <w:qFormat/>
  </w:style>
  <w:style w:type="table" w:styleId="948" w:customStyle="1">
    <w:name w:val="普通表格1"/>
    <w:uiPriority w:val="0"/>
    <w:semiHidden/>
    <w:qFormat/>
    <w:tblPr/>
  </w:style>
  <w:style w:type="paragraph" w:styleId="949" w:customStyle="1">
    <w:name w:val="目录 71"/>
    <w:basedOn w:val="764"/>
    <w:next w:val="764"/>
    <w:uiPriority w:val="0"/>
    <w:qFormat/>
    <w:pPr>
      <w:ind w:left="1701"/>
      <w:spacing w:after="57"/>
    </w:pPr>
  </w:style>
  <w:style w:type="paragraph" w:styleId="950" w:customStyle="1">
    <w:name w:val="正文缩进111"/>
    <w:basedOn w:val="764"/>
    <w:next w:val="764"/>
    <w:uiPriority w:val="0"/>
    <w:qFormat/>
    <w:pPr>
      <w:ind w:firstLine="420"/>
    </w:pPr>
  </w:style>
  <w:style w:type="paragraph" w:styleId="951" w:customStyle="1">
    <w:name w:val="题注1"/>
    <w:basedOn w:val="764"/>
    <w:next w:val="764"/>
    <w:uiPriority w:val="0"/>
    <w:qFormat/>
    <w:pPr>
      <w:spacing w:line="276" w:lineRule="auto"/>
    </w:pPr>
    <w:rPr>
      <w:b/>
      <w:bCs/>
      <w:color w:val="4f81bd"/>
      <w:sz w:val="18"/>
      <w:szCs w:val="18"/>
    </w:rPr>
  </w:style>
  <w:style w:type="paragraph" w:styleId="952" w:customStyle="1">
    <w:name w:val="正文文本111"/>
    <w:basedOn w:val="764"/>
    <w:next w:val="950"/>
    <w:uiPriority w:val="0"/>
    <w:qFormat/>
    <w:rPr>
      <w:rFonts w:ascii="楷体_GB2312" w:eastAsia="楷体_GB2312"/>
      <w:sz w:val="28"/>
      <w:szCs w:val="28"/>
    </w:rPr>
  </w:style>
  <w:style w:type="paragraph" w:styleId="953" w:customStyle="1">
    <w:name w:val="正文文本缩进1"/>
    <w:basedOn w:val="764"/>
    <w:next w:val="954"/>
    <w:uiPriority w:val="0"/>
    <w:qFormat/>
    <w:pPr>
      <w:ind w:firstLine="225"/>
    </w:pPr>
    <w:rPr>
      <w:rFonts w:ascii="仿宋_GB2312" w:eastAsia="仿宋_GB2312"/>
      <w:sz w:val="32"/>
    </w:rPr>
  </w:style>
  <w:style w:type="paragraph" w:styleId="954" w:customStyle="1">
    <w:name w:val="寄信人地址1"/>
    <w:basedOn w:val="764"/>
    <w:uiPriority w:val="0"/>
    <w:qFormat/>
    <w:rPr>
      <w:rFonts w:ascii="Arial" w:hAnsi="Arial"/>
    </w:rPr>
  </w:style>
  <w:style w:type="paragraph" w:styleId="955" w:customStyle="1">
    <w:name w:val="目录 51"/>
    <w:basedOn w:val="764"/>
    <w:next w:val="764"/>
    <w:uiPriority w:val="0"/>
    <w:qFormat/>
    <w:pPr>
      <w:ind w:left="1134"/>
      <w:spacing w:after="57"/>
    </w:pPr>
  </w:style>
  <w:style w:type="paragraph" w:styleId="956" w:customStyle="1">
    <w:name w:val="目录 31"/>
    <w:basedOn w:val="764"/>
    <w:next w:val="764"/>
    <w:uiPriority w:val="0"/>
    <w:qFormat/>
    <w:pPr>
      <w:ind w:left="567"/>
      <w:spacing w:after="57"/>
    </w:pPr>
  </w:style>
  <w:style w:type="paragraph" w:styleId="957" w:customStyle="1">
    <w:name w:val="纯文本11"/>
    <w:basedOn w:val="764"/>
    <w:uiPriority w:val="0"/>
    <w:qFormat/>
    <w:rPr>
      <w:rFonts w:ascii="宋体" w:cs="Courier New"/>
      <w:lang w:bidi="ar-SA"/>
    </w:rPr>
  </w:style>
  <w:style w:type="paragraph" w:styleId="958" w:customStyle="1">
    <w:name w:val="目录 81"/>
    <w:basedOn w:val="764"/>
    <w:next w:val="764"/>
    <w:uiPriority w:val="0"/>
    <w:qFormat/>
    <w:pPr>
      <w:ind w:left="1984"/>
      <w:spacing w:after="57"/>
    </w:pPr>
  </w:style>
  <w:style w:type="paragraph" w:styleId="959" w:customStyle="1">
    <w:name w:val="尾注文本1"/>
    <w:basedOn w:val="764"/>
    <w:uiPriority w:val="0"/>
    <w:qFormat/>
    <w:rPr>
      <w:sz w:val="20"/>
    </w:rPr>
  </w:style>
  <w:style w:type="paragraph" w:styleId="960" w:customStyle="1">
    <w:name w:val="页脚11"/>
    <w:basedOn w:val="764"/>
    <w:uiPriority w:val="0"/>
    <w:qFormat/>
    <w:pPr>
      <w:tabs>
        <w:tab w:val="center" w:pos="7143" w:leader="none"/>
        <w:tab w:val="right" w:pos="14287" w:leader="none"/>
      </w:tabs>
    </w:pPr>
  </w:style>
  <w:style w:type="paragraph" w:styleId="961" w:customStyle="1">
    <w:name w:val="页眉11"/>
    <w:basedOn w:val="764"/>
    <w:uiPriority w:val="0"/>
    <w:qFormat/>
    <w:pPr>
      <w:tabs>
        <w:tab w:val="center" w:pos="7143" w:leader="none"/>
        <w:tab w:val="right" w:pos="14287" w:leader="none"/>
      </w:tabs>
    </w:pPr>
  </w:style>
  <w:style w:type="paragraph" w:styleId="962" w:customStyle="1">
    <w:name w:val="目录 111"/>
    <w:basedOn w:val="764"/>
    <w:next w:val="764"/>
    <w:uiPriority w:val="0"/>
    <w:qFormat/>
    <w:pPr>
      <w:spacing w:after="57"/>
    </w:pPr>
  </w:style>
  <w:style w:type="paragraph" w:styleId="963" w:customStyle="1">
    <w:name w:val="目录 41"/>
    <w:basedOn w:val="764"/>
    <w:next w:val="764"/>
    <w:uiPriority w:val="0"/>
    <w:qFormat/>
    <w:pPr>
      <w:ind w:left="850"/>
      <w:spacing w:after="57"/>
    </w:pPr>
  </w:style>
  <w:style w:type="paragraph" w:styleId="964" w:customStyle="1">
    <w:name w:val="副标题1"/>
    <w:basedOn w:val="764"/>
    <w:next w:val="764"/>
    <w:uiPriority w:val="0"/>
    <w:qFormat/>
    <w:pPr>
      <w:spacing w:before="200" w:after="200"/>
    </w:pPr>
    <w:rPr>
      <w:sz w:val="24"/>
    </w:rPr>
  </w:style>
  <w:style w:type="paragraph" w:styleId="965" w:customStyle="1">
    <w:name w:val="脚注文本1"/>
    <w:basedOn w:val="764"/>
    <w:uiPriority w:val="0"/>
    <w:qFormat/>
    <w:pPr>
      <w:spacing w:after="40"/>
    </w:pPr>
    <w:rPr>
      <w:sz w:val="18"/>
    </w:rPr>
  </w:style>
  <w:style w:type="paragraph" w:styleId="966" w:customStyle="1">
    <w:name w:val="目录 61"/>
    <w:basedOn w:val="764"/>
    <w:next w:val="764"/>
    <w:uiPriority w:val="0"/>
    <w:qFormat/>
    <w:pPr>
      <w:ind w:left="1417"/>
      <w:spacing w:after="57"/>
    </w:pPr>
  </w:style>
  <w:style w:type="paragraph" w:styleId="967" w:customStyle="1">
    <w:name w:val="图表目录1"/>
    <w:basedOn w:val="764"/>
    <w:next w:val="764"/>
    <w:uiPriority w:val="0"/>
    <w:qFormat/>
  </w:style>
  <w:style w:type="paragraph" w:styleId="968" w:customStyle="1">
    <w:name w:val="目录 21"/>
    <w:basedOn w:val="764"/>
    <w:next w:val="764"/>
    <w:uiPriority w:val="0"/>
    <w:qFormat/>
    <w:pPr>
      <w:ind w:left="283"/>
      <w:spacing w:after="57"/>
    </w:pPr>
  </w:style>
  <w:style w:type="paragraph" w:styleId="969" w:customStyle="1">
    <w:name w:val="目录 91"/>
    <w:basedOn w:val="764"/>
    <w:next w:val="764"/>
    <w:uiPriority w:val="0"/>
    <w:qFormat/>
    <w:pPr>
      <w:ind w:left="2268"/>
      <w:spacing w:after="57"/>
    </w:pPr>
  </w:style>
  <w:style w:type="paragraph" w:styleId="970" w:customStyle="1">
    <w:name w:val="标题1"/>
    <w:basedOn w:val="764"/>
    <w:next w:val="764"/>
    <w:uiPriority w:val="0"/>
    <w:qFormat/>
    <w:pPr>
      <w:contextualSpacing/>
      <w:spacing w:before="300" w:after="200"/>
    </w:pPr>
    <w:rPr>
      <w:sz w:val="48"/>
      <w:szCs w:val="48"/>
    </w:rPr>
  </w:style>
  <w:style w:type="character" w:styleId="971" w:customStyle="1">
    <w:name w:val="尾注引用1"/>
    <w:link w:val="764"/>
    <w:uiPriority w:val="0"/>
    <w:qFormat/>
    <w:rPr>
      <w:vertAlign w:val="superscript"/>
    </w:rPr>
  </w:style>
  <w:style w:type="character" w:styleId="972" w:customStyle="1">
    <w:name w:val="强调1"/>
    <w:link w:val="764"/>
    <w:uiPriority w:val="0"/>
    <w:qFormat/>
    <w:rPr>
      <w:i/>
    </w:rPr>
  </w:style>
  <w:style w:type="character" w:styleId="973" w:customStyle="1">
    <w:name w:val="超链接11"/>
    <w:link w:val="764"/>
    <w:uiPriority w:val="0"/>
    <w:qFormat/>
    <w:rPr>
      <w:color w:val="0000ff"/>
      <w:u w:val="single"/>
    </w:rPr>
  </w:style>
  <w:style w:type="character" w:styleId="974" w:customStyle="1">
    <w:name w:val="脚注引用1"/>
    <w:link w:val="764"/>
    <w:uiPriority w:val="0"/>
    <w:qFormat/>
    <w:rPr>
      <w:vertAlign w:val="superscript"/>
    </w:rPr>
  </w:style>
  <w:style w:type="character" w:styleId="975" w:customStyle="1">
    <w:name w:val="Heading 1 Char"/>
    <w:basedOn w:val="947"/>
    <w:link w:val="764"/>
    <w:uiPriority w:val="0"/>
    <w:qFormat/>
    <w:rPr>
      <w:rFonts w:ascii="Arial" w:hAnsi="Arial" w:eastAsia="Arial" w:cs="Arial"/>
      <w:sz w:val="40"/>
      <w:szCs w:val="40"/>
      <w:lang w:bidi="ar-SA"/>
    </w:rPr>
  </w:style>
  <w:style w:type="character" w:styleId="976" w:customStyle="1">
    <w:name w:val="Heading 2 Char"/>
    <w:basedOn w:val="947"/>
    <w:link w:val="764"/>
    <w:uiPriority w:val="0"/>
    <w:qFormat/>
    <w:rPr>
      <w:rFonts w:ascii="Arial" w:hAnsi="Arial" w:eastAsia="Arial" w:cs="Arial"/>
      <w:sz w:val="34"/>
      <w:lang w:bidi="ar-SA"/>
    </w:rPr>
  </w:style>
  <w:style w:type="character" w:styleId="977" w:customStyle="1">
    <w:name w:val="Heading 3 Char"/>
    <w:basedOn w:val="947"/>
    <w:link w:val="764"/>
    <w:uiPriority w:val="0"/>
    <w:qFormat/>
    <w:rPr>
      <w:rFonts w:ascii="Arial" w:hAnsi="Arial" w:eastAsia="Arial" w:cs="Arial"/>
      <w:sz w:val="30"/>
      <w:szCs w:val="30"/>
      <w:lang w:bidi="ar-SA"/>
    </w:rPr>
  </w:style>
  <w:style w:type="character" w:styleId="978" w:customStyle="1">
    <w:name w:val="Heading 4 Char"/>
    <w:basedOn w:val="947"/>
    <w:link w:val="764"/>
    <w:uiPriority w:val="0"/>
    <w:qFormat/>
    <w:rPr>
      <w:rFonts w:ascii="Arial" w:hAnsi="Arial" w:eastAsia="Arial" w:cs="Arial"/>
      <w:b/>
      <w:bCs/>
      <w:sz w:val="26"/>
      <w:szCs w:val="26"/>
      <w:lang w:bidi="ar-SA"/>
    </w:rPr>
  </w:style>
  <w:style w:type="character" w:styleId="979" w:customStyle="1">
    <w:name w:val="Heading 5 Char"/>
    <w:basedOn w:val="947"/>
    <w:link w:val="764"/>
    <w:uiPriority w:val="0"/>
    <w:qFormat/>
    <w:rPr>
      <w:rFonts w:ascii="Arial" w:hAnsi="Arial" w:eastAsia="Arial" w:cs="Arial"/>
      <w:b/>
      <w:bCs/>
      <w:sz w:val="24"/>
      <w:szCs w:val="24"/>
      <w:lang w:bidi="ar-SA"/>
    </w:rPr>
  </w:style>
  <w:style w:type="character" w:styleId="980" w:customStyle="1">
    <w:name w:val="Heading 6 Char"/>
    <w:basedOn w:val="947"/>
    <w:link w:val="764"/>
    <w:uiPriority w:val="0"/>
    <w:qFormat/>
    <w:rPr>
      <w:rFonts w:ascii="Arial" w:hAnsi="Arial" w:eastAsia="Arial" w:cs="Arial"/>
      <w:b/>
      <w:bCs/>
      <w:sz w:val="22"/>
      <w:szCs w:val="22"/>
      <w:lang w:bidi="ar-SA"/>
    </w:rPr>
  </w:style>
  <w:style w:type="character" w:styleId="981" w:customStyle="1">
    <w:name w:val="Heading 7 Char"/>
    <w:basedOn w:val="947"/>
    <w:link w:val="764"/>
    <w:uiPriority w:val="0"/>
    <w:qFormat/>
    <w:rPr>
      <w:rFonts w:ascii="Arial" w:hAnsi="Arial" w:eastAsia="Arial" w:cs="Arial"/>
      <w:b/>
      <w:bCs/>
      <w:i/>
      <w:iCs/>
      <w:sz w:val="22"/>
      <w:szCs w:val="22"/>
      <w:lang w:bidi="ar-SA"/>
    </w:rPr>
  </w:style>
  <w:style w:type="character" w:styleId="982" w:customStyle="1">
    <w:name w:val="Heading 8 Char"/>
    <w:basedOn w:val="947"/>
    <w:link w:val="764"/>
    <w:uiPriority w:val="0"/>
    <w:qFormat/>
    <w:rPr>
      <w:rFonts w:ascii="Arial" w:hAnsi="Arial" w:eastAsia="Arial" w:cs="Arial"/>
      <w:i/>
      <w:iCs/>
      <w:sz w:val="22"/>
      <w:szCs w:val="22"/>
      <w:lang w:bidi="ar-SA"/>
    </w:rPr>
  </w:style>
  <w:style w:type="character" w:styleId="983" w:customStyle="1">
    <w:name w:val="Heading 9 Char"/>
    <w:basedOn w:val="947"/>
    <w:link w:val="764"/>
    <w:uiPriority w:val="0"/>
    <w:qFormat/>
    <w:rPr>
      <w:rFonts w:ascii="Arial" w:hAnsi="Arial" w:eastAsia="Arial" w:cs="Arial"/>
      <w:i/>
      <w:iCs/>
      <w:sz w:val="21"/>
      <w:szCs w:val="21"/>
      <w:lang w:bidi="ar-SA"/>
    </w:rPr>
  </w:style>
  <w:style w:type="character" w:styleId="984" w:customStyle="1">
    <w:name w:val="Title Char"/>
    <w:basedOn w:val="947"/>
    <w:link w:val="764"/>
    <w:uiPriority w:val="0"/>
    <w:qFormat/>
    <w:rPr>
      <w:sz w:val="48"/>
      <w:szCs w:val="48"/>
    </w:rPr>
  </w:style>
  <w:style w:type="character" w:styleId="985" w:customStyle="1">
    <w:name w:val="Subtitle Char"/>
    <w:basedOn w:val="947"/>
    <w:link w:val="764"/>
    <w:uiPriority w:val="0"/>
    <w:qFormat/>
    <w:rPr>
      <w:sz w:val="24"/>
      <w:szCs w:val="24"/>
    </w:rPr>
  </w:style>
  <w:style w:type="character" w:styleId="986" w:customStyle="1">
    <w:name w:val="Quote Char"/>
    <w:link w:val="764"/>
    <w:uiPriority w:val="0"/>
    <w:qFormat/>
    <w:rPr>
      <w:i/>
    </w:rPr>
  </w:style>
  <w:style w:type="character" w:styleId="987" w:customStyle="1">
    <w:name w:val="Intense Quote Char"/>
    <w:link w:val="764"/>
    <w:uiPriority w:val="0"/>
    <w:qFormat/>
    <w:rPr>
      <w:i/>
    </w:rPr>
  </w:style>
  <w:style w:type="character" w:styleId="988" w:customStyle="1">
    <w:name w:val="Header Char"/>
    <w:basedOn w:val="947"/>
    <w:link w:val="764"/>
    <w:uiPriority w:val="0"/>
    <w:qFormat/>
  </w:style>
  <w:style w:type="character" w:styleId="989" w:customStyle="1">
    <w:name w:val="Caption Char"/>
    <w:link w:val="764"/>
    <w:uiPriority w:val="0"/>
    <w:qFormat/>
  </w:style>
  <w:style w:type="character" w:styleId="990" w:customStyle="1">
    <w:name w:val="Footnote Text Char"/>
    <w:link w:val="764"/>
    <w:uiPriority w:val="0"/>
    <w:qFormat/>
    <w:rPr>
      <w:sz w:val="18"/>
    </w:rPr>
  </w:style>
  <w:style w:type="character" w:styleId="991" w:customStyle="1">
    <w:name w:val="Endnote Text Char"/>
    <w:link w:val="764"/>
    <w:uiPriority w:val="0"/>
    <w:qFormat/>
    <w:rPr>
      <w:sz w:val="20"/>
    </w:rPr>
  </w:style>
  <w:style w:type="paragraph" w:styleId="992" w:customStyle="1">
    <w:name w:val="TOC Heading"/>
    <w:uiPriority w:val="0"/>
    <w:qFormat/>
    <w:rPr>
      <w:rFonts w:hint="default" w:ascii="Times New Roman" w:hAnsi="Times New Roman" w:eastAsia="宋体" w:cs="Times New Roman"/>
      <w:sz w:val="20"/>
      <w:szCs w:val="20"/>
      <w:lang w:val="en-US" w:eastAsia="zh-CN" w:bidi="ar-SA"/>
    </w:rPr>
  </w:style>
  <w:style w:type="paragraph" w:styleId="993" w:customStyle="1">
    <w:name w:val="标题二、"/>
    <w:basedOn w:val="764"/>
    <w:uiPriority w:val="0"/>
    <w:qFormat/>
    <w:pPr>
      <w:ind w:firstLine="200"/>
      <w:spacing w:line="360" w:lineRule="auto"/>
      <w:outlineLvl w:val="2"/>
    </w:pPr>
    <w:rPr>
      <w:rFonts w:ascii="宋体"/>
      <w:b/>
      <w:szCs w:val="21"/>
    </w:rPr>
  </w:style>
  <w:style w:type="paragraph" w:styleId="994" w:customStyle="1">
    <w:name w:val="浅色列表1"/>
    <w:basedOn w:val="764"/>
    <w:uiPriority w:val="0"/>
    <w:qFormat/>
    <w:pPr>
      <w:contextualSpacing/>
      <w:ind w:left="720"/>
    </w:pPr>
  </w:style>
  <w:style w:type="paragraph" w:styleId="995" w:customStyle="1">
    <w:name w:val="无间隔"/>
    <w:uiPriority w:val="0"/>
    <w:qFormat/>
    <w:rPr>
      <w:rFonts w:hint="default" w:ascii="Times New Roman" w:hAnsi="Times New Roman" w:eastAsia="宋体" w:cs="Times New Roman"/>
      <w:sz w:val="20"/>
      <w:szCs w:val="20"/>
      <w:lang w:val="en-US" w:eastAsia="zh-CN" w:bidi="ar-SA"/>
    </w:rPr>
  </w:style>
  <w:style w:type="paragraph" w:styleId="996" w:customStyle="1">
    <w:name w:val="引用"/>
    <w:basedOn w:val="764"/>
    <w:next w:val="764"/>
    <w:uiPriority w:val="0"/>
    <w:qFormat/>
    <w:pPr>
      <w:ind w:left="720" w:right="720"/>
    </w:pPr>
    <w:rPr>
      <w:i/>
    </w:rPr>
  </w:style>
  <w:style w:type="paragraph" w:styleId="997"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8" w:customStyle="1">
    <w:name w:val="TOC 标题1"/>
    <w:uiPriority w:val="0"/>
    <w:qFormat/>
    <w:rPr>
      <w:rFonts w:hint="default" w:ascii="Times New Roman" w:hAnsi="Times New Roman" w:eastAsia="宋体" w:cs="Times New Roman"/>
      <w:sz w:val="20"/>
      <w:szCs w:val="20"/>
      <w:lang w:val="en-US" w:eastAsia="zh-CN" w:bidi="ar-SA"/>
    </w:rPr>
  </w:style>
  <w:style w:type="paragraph" w:styleId="999"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1000" w:customStyle="1">
    <w:name w:val="默认段落字体1"/>
    <w:link w:val="764"/>
    <w:uiPriority w:val="0"/>
    <w:qFormat/>
  </w:style>
  <w:style w:type="paragraph" w:styleId="1001" w:customStyle="1">
    <w:name w:val="正文文本1"/>
    <w:basedOn w:val="764"/>
    <w:next w:val="764"/>
    <w:uiPriority w:val="0"/>
    <w:qFormat/>
    <w:pPr>
      <w:spacing w:after="120"/>
    </w:pPr>
  </w:style>
  <w:style w:type="paragraph" w:styleId="1002" w:customStyle="1">
    <w:name w:val="批注文字1"/>
    <w:basedOn w:val="764"/>
    <w:uiPriority w:val="0"/>
    <w:qFormat/>
    <w:pPr>
      <w:jc w:val="left"/>
    </w:pPr>
  </w:style>
  <w:style w:type="paragraph" w:styleId="1003" w:customStyle="1">
    <w:name w:val="页脚1"/>
    <w:basedOn w:val="764"/>
    <w:uiPriority w:val="0"/>
    <w:qFormat/>
    <w:pPr>
      <w:jc w:val="left"/>
      <w:tabs>
        <w:tab w:val="center" w:pos="4153" w:leader="none"/>
        <w:tab w:val="right" w:pos="8306" w:leader="none"/>
      </w:tabs>
    </w:pPr>
    <w:rPr>
      <w:sz w:val="18"/>
      <w:szCs w:val="18"/>
    </w:rPr>
  </w:style>
  <w:style w:type="paragraph" w:styleId="1004"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5" w:customStyle="1">
    <w:name w:val="普通(网站)1"/>
    <w:basedOn w:val="764"/>
    <w:uiPriority w:val="0"/>
    <w:qFormat/>
    <w:pPr>
      <w:jc w:val="left"/>
      <w:spacing w:before="100" w:beforeAutospacing="1" w:after="100" w:afterAutospacing="1"/>
    </w:pPr>
    <w:rPr>
      <w:sz w:val="24"/>
    </w:rPr>
  </w:style>
  <w:style w:type="character" w:styleId="1006" w:customStyle="1">
    <w:name w:val="超链接1"/>
    <w:basedOn w:val="1000"/>
    <w:link w:val="764"/>
    <w:uiPriority w:val="0"/>
    <w:qFormat/>
    <w:rPr>
      <w:color w:val="0000ff"/>
      <w:u w:val="single"/>
    </w:rPr>
  </w:style>
  <w:style w:type="paragraph" w:styleId="1007"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8" w:customStyle="1">
    <w:name w:val="正文_3"/>
    <w:next w:val="1009"/>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首行缩进 2_1"/>
    <w:basedOn w:val="1010"/>
    <w:next w:val="1012"/>
    <w:uiPriority w:val="0"/>
    <w:qFormat/>
    <w:pPr>
      <w:ind w:left="420" w:firstLine="420"/>
      <w:spacing w:before="0" w:after="120" w:line="240" w:lineRule="auto"/>
    </w:pPr>
    <w:rPr>
      <w:rFonts w:ascii="Times New Roman" w:hAnsi="Times New Roman"/>
      <w:szCs w:val="24"/>
    </w:rPr>
  </w:style>
  <w:style w:type="paragraph" w:styleId="1010" w:customStyle="1">
    <w:name w:val="正文文本缩进_1"/>
    <w:basedOn w:val="1011"/>
    <w:next w:val="1009"/>
    <w:uiPriority w:val="0"/>
    <w:qFormat/>
    <w:pPr>
      <w:ind w:firstLine="552"/>
      <w:spacing w:before="240" w:line="360" w:lineRule="auto"/>
    </w:pPr>
    <w:rPr>
      <w:rFonts w:ascii="宋体"/>
      <w:szCs w:val="20"/>
    </w:rPr>
  </w:style>
  <w:style w:type="paragraph" w:styleId="1011" w:customStyle="1">
    <w:name w:val="正文_18"/>
    <w:next w:val="10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xl53_0"/>
    <w:next w:val="100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13"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4" w:customStyle="1">
    <w:name w:val="标题 3_0"/>
    <w:basedOn w:val="1013"/>
    <w:next w:val="1013"/>
    <w:uiPriority w:val="0"/>
    <w:qFormat/>
    <w:pPr>
      <w:keepLines/>
      <w:keepNext/>
      <w:spacing w:before="260" w:after="260" w:line="412" w:lineRule="auto"/>
      <w:widowControl w:val="off"/>
      <w:outlineLvl w:val="2"/>
    </w:pPr>
    <w:rPr>
      <w:rFonts w:ascii="Calibri" w:hAnsi="Calibri" w:eastAsia="Times New Roman"/>
      <w:b/>
      <w:sz w:val="32"/>
    </w:rPr>
  </w:style>
  <w:style w:type="paragraph" w:styleId="1015"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6" w:customStyle="1">
    <w:name w:val="标题 4_0"/>
    <w:basedOn w:val="1015"/>
    <w:next w:val="1015"/>
    <w:uiPriority w:val="0"/>
    <w:qFormat/>
    <w:pPr>
      <w:keepLines/>
      <w:keepNext/>
      <w:spacing w:before="280" w:after="290" w:line="372" w:lineRule="auto"/>
      <w:widowControl w:val="off"/>
      <w:outlineLvl w:val="3"/>
    </w:pPr>
    <w:rPr>
      <w:rFonts w:ascii="Arial" w:hAnsi="Arial" w:eastAsia="黑体"/>
      <w:b/>
      <w:sz w:val="28"/>
    </w:rPr>
  </w:style>
  <w:style w:type="paragraph" w:styleId="1017" w:customStyle="1">
    <w:name w:val="标题 5_0"/>
    <w:basedOn w:val="1015"/>
    <w:next w:val="1015"/>
    <w:uiPriority w:val="0"/>
    <w:qFormat/>
    <w:pPr>
      <w:keepLines/>
      <w:keepNext/>
      <w:spacing w:before="280" w:after="290" w:line="374" w:lineRule="auto"/>
      <w:widowControl w:val="off"/>
      <w:outlineLvl w:val="4"/>
    </w:pPr>
    <w:rPr>
      <w:rFonts w:eastAsia="Times New Roman"/>
      <w:b/>
      <w:bCs/>
      <w:sz w:val="28"/>
      <w:szCs w:val="28"/>
    </w:rPr>
  </w:style>
  <w:style w:type="paragraph" w:styleId="1018" w:customStyle="1">
    <w:name w:val="Normal_20_0_0"/>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Heading 1_0_0"/>
    <w:basedOn w:val="1018"/>
    <w:next w:val="1018"/>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20"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21" w:customStyle="1">
    <w:name w:val="正文_2_0"/>
    <w:basedOn w:val="1020"/>
    <w:next w:val="1020"/>
    <w:uiPriority w:val="0"/>
    <w:qFormat/>
    <w:rPr>
      <w:rFonts w:cs="Times New Roman"/>
      <w:lang w:bidi="ar-SA"/>
    </w:rPr>
  </w:style>
  <w:style w:type="paragraph" w:styleId="1022" w:customStyle="1">
    <w:name w:val="正文_2"/>
    <w:next w:val="1023"/>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文本_0"/>
    <w:basedOn w:val="1024"/>
    <w:next w:val="1022"/>
    <w:uiPriority w:val="0"/>
    <w:qFormat/>
    <w:pPr>
      <w:spacing w:after="120"/>
    </w:pPr>
  </w:style>
  <w:style w:type="paragraph" w:styleId="1024" w:customStyle="1">
    <w:name w:val="正文_16"/>
    <w:next w:val="1025"/>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文本 2_0"/>
    <w:basedOn w:val="1024"/>
    <w:uiPriority w:val="0"/>
    <w:qFormat/>
    <w:rPr>
      <w:rFonts w:ascii="仿宋_GB2312" w:eastAsia="仿宋_GB2312"/>
      <w:sz w:val="28"/>
    </w:rPr>
  </w:style>
  <w:style w:type="paragraph" w:styleId="102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标题 1_0"/>
    <w:basedOn w:val="1026"/>
    <w:next w:val="1026"/>
    <w:uiPriority w:val="0"/>
    <w:qFormat/>
    <w:pPr>
      <w:keepLines/>
      <w:keepNext/>
      <w:spacing w:before="340" w:after="330" w:line="576" w:lineRule="auto"/>
      <w:widowControl w:val="off"/>
      <w:outlineLvl w:val="0"/>
    </w:pPr>
    <w:rPr>
      <w:rFonts w:ascii="Calibri" w:hAnsi="Calibri"/>
      <w:b/>
      <w:sz w:val="44"/>
      <w:szCs w:val="20"/>
    </w:rPr>
  </w:style>
  <w:style w:type="paragraph" w:styleId="1028" w:customStyle="1">
    <w:name w:val="标题 2_0"/>
    <w:basedOn w:val="1022"/>
    <w:next w:val="1022"/>
    <w:uiPriority w:val="0"/>
    <w:qFormat/>
    <w:pPr>
      <w:keepLines/>
      <w:keepNext/>
      <w:spacing w:before="260" w:after="260" w:line="412" w:lineRule="auto"/>
      <w:widowControl w:val="off"/>
      <w:outlineLvl w:val="1"/>
    </w:pPr>
    <w:rPr>
      <w:rFonts w:ascii="Arial" w:hAnsi="Arial" w:eastAsia="黑体"/>
      <w:b/>
      <w:sz w:val="32"/>
      <w:szCs w:val="20"/>
    </w:rPr>
  </w:style>
  <w:style w:type="paragraph" w:styleId="1029" w:customStyle="1">
    <w:name w:val="正文文本缩进_0"/>
    <w:basedOn w:val="1022"/>
    <w:uiPriority w:val="0"/>
    <w:qFormat/>
    <w:pPr>
      <w:ind w:firstLine="225"/>
    </w:pPr>
    <w:rPr>
      <w:rFonts w:ascii="仿宋_GB2312" w:eastAsia="仿宋_GB2312"/>
      <w:sz w:val="32"/>
    </w:rPr>
  </w:style>
  <w:style w:type="paragraph" w:styleId="1030" w:customStyle="1">
    <w:name w:val="正文首行缩进 2_0"/>
    <w:basedOn w:val="1029"/>
    <w:uiPriority w:val="0"/>
    <w:qFormat/>
    <w:pPr>
      <w:ind w:left="200" w:firstLine="200"/>
      <w:spacing w:after="120"/>
    </w:pPr>
    <w:rPr>
      <w:rFonts w:ascii="Times New Roman" w:hAnsi="Times New Roman"/>
      <w:sz w:val="24"/>
      <w:szCs w:val="24"/>
    </w:rPr>
  </w:style>
  <w:style w:type="paragraph" w:styleId="1031" w:customStyle="1">
    <w:name w:val="标题 41"/>
    <w:basedOn w:val="764"/>
    <w:next w:val="1032"/>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32" w:customStyle="1">
    <w:name w:val="正文缩进1"/>
    <w:basedOn w:val="764"/>
    <w:next w:val="764"/>
    <w:uiPriority w:val="0"/>
    <w:qFormat/>
    <w:pPr>
      <w:ind w:firstLine="420"/>
    </w:pPr>
  </w:style>
  <w:style w:type="paragraph" w:styleId="1033"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4" w:customStyle="1">
    <w:name w:val="Normal_19"/>
    <w:basedOn w:val="1021"/>
    <w:uiPriority w:val="0"/>
    <w:qFormat/>
  </w:style>
  <w:style w:type="paragraph" w:styleId="1035" w:customStyle="1">
    <w:name w:val="无间隔1_0_0"/>
    <w:basedOn w:val="1034"/>
    <w:uiPriority w:val="0"/>
    <w:qFormat/>
    <w:pPr>
      <w:spacing w:line="400" w:lineRule="exact"/>
    </w:pPr>
    <w:rPr>
      <w:rFonts w:ascii="Times New Roman" w:hAnsi="Times New Roman" w:eastAsia="Times New Roman"/>
      <w:color w:val="000000"/>
      <w:sz w:val="24"/>
      <w:szCs w:val="24"/>
    </w:rPr>
  </w:style>
  <w:style w:type="paragraph" w:styleId="1036"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7" w:customStyle="1">
    <w:name w:val="列出段落1"/>
    <w:basedOn w:val="764"/>
    <w:uiPriority w:val="0"/>
    <w:qFormat/>
    <w:pPr>
      <w:contextualSpacing/>
      <w:ind w:left="720"/>
      <w:jc w:val="left"/>
      <w:widowControl/>
    </w:pPr>
    <w:rPr>
      <w:sz w:val="24"/>
      <w:lang w:bidi="en-US"/>
    </w:rPr>
  </w:style>
  <w:style w:type="paragraph" w:styleId="1038"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左对齐正文"/>
    <w:uiPriority w:val="0"/>
    <w:qFormat/>
    <w:rPr>
      <w:rFonts w:hint="default" w:ascii="Calibri" w:hAnsi="Calibri" w:eastAsia="仿宋_GB2312" w:cs="Calibri"/>
      <w:sz w:val="32"/>
      <w:szCs w:val="32"/>
      <w:lang w:val="en-US" w:eastAsia="zh-CN" w:bidi="ar-SA"/>
    </w:rPr>
  </w:style>
  <w:style w:type="paragraph" w:styleId="1042" w:customStyle="1">
    <w:name w:val="正文空2字"/>
    <w:basedOn w:val="1041"/>
    <w:uiPriority w:val="0"/>
    <w:qFormat/>
    <w:pPr>
      <w:ind w:firstLine="640"/>
      <w:spacing w:line="560" w:lineRule="exact"/>
      <w:widowControl w:val="off"/>
    </w:pPr>
    <w:rPr>
      <w:rFonts w:ascii="仿宋_GB2312" w:cs="仿宋_GB2312"/>
      <w:lang w:val="zh-TW" w:eastAsia="zh-TW" w:bidi="ar-SA"/>
    </w:rPr>
  </w:style>
  <w:style w:type="paragraph" w:styleId="1043" w:customStyle="1">
    <w:name w:val="Char1"/>
    <w:basedOn w:val="764"/>
    <w:uiPriority w:val="0"/>
    <w:qFormat/>
    <w:pPr>
      <w:ind w:firstLine="200"/>
      <w:tabs>
        <w:tab w:val="left" w:pos="360" w:leader="none"/>
      </w:tabs>
    </w:pPr>
    <w:rPr>
      <w:sz w:val="28"/>
      <w:szCs w:val="30"/>
    </w:rPr>
  </w:style>
  <w:style w:type="paragraph" w:styleId="1044" w:customStyle="1">
    <w:name w:val="普通正文"/>
    <w:basedOn w:val="764"/>
    <w:uiPriority w:val="0"/>
    <w:qFormat/>
    <w:pPr>
      <w:ind w:firstLine="480"/>
      <w:jc w:val="left"/>
      <w:spacing w:before="120" w:after="120" w:line="360" w:lineRule="auto"/>
    </w:pPr>
    <w:rPr>
      <w:rFonts w:ascii="Arial" w:hAnsi="Arial"/>
      <w:sz w:val="24"/>
    </w:rPr>
  </w:style>
  <w:style w:type="paragraph" w:styleId="1045"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文本12"/>
    <w:basedOn w:val="764"/>
    <w:uiPriority w:val="0"/>
    <w:qFormat/>
    <w:pPr>
      <w:ind w:left="120"/>
    </w:pPr>
    <w:rPr>
      <w:rFonts w:ascii="宋体" w:cs="宋体"/>
      <w:lang w:val="zh-CN" w:eastAsia="zh-CN" w:bidi="zh-CN"/>
    </w:rPr>
  </w:style>
  <w:style w:type="paragraph" w:styleId="1050" w:customStyle="1">
    <w:name w:val="Normal_18_0"/>
    <w:uiPriority w:val="0"/>
    <w:qFormat/>
    <w:rPr>
      <w:rFonts w:hint="default" w:ascii="黑体" w:hAnsi="Times New Roman" w:eastAsia="黑体" w:cs="黑体"/>
      <w:b/>
      <w:sz w:val="32"/>
      <w:szCs w:val="24"/>
      <w:lang w:val="en-US" w:eastAsia="zh-CN" w:bidi="ar-SA"/>
    </w:rPr>
  </w:style>
  <w:style w:type="paragraph" w:styleId="1051" w:customStyle="1">
    <w:name w:val="正文_12_0_0_0_0"/>
    <w:basedOn w:val="764"/>
    <w:uiPriority w:val="0"/>
    <w:qFormat/>
  </w:style>
  <w:style w:type="paragraph" w:styleId="105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Normal_20"/>
    <w:uiPriority w:val="0"/>
    <w:qFormat/>
    <w:rPr>
      <w:rFonts w:hint="default" w:ascii="黑体" w:hAnsi="Times New Roman" w:eastAsia="黑体" w:cs="黑体"/>
      <w:b/>
      <w:sz w:val="32"/>
      <w:szCs w:val="24"/>
      <w:lang w:val="en-US" w:eastAsia="zh-CN" w:bidi="ar-SA"/>
    </w:rPr>
  </w:style>
  <w:style w:type="paragraph" w:styleId="10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7" w:customStyle="1">
    <w:name w:val="页码1"/>
    <w:link w:val="764"/>
    <w:uiPriority w:val="0"/>
    <w:qFormat/>
  </w:style>
  <w:style w:type="paragraph" w:styleId="1058"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9" w:customStyle="1">
    <w:name w:val="font11"/>
    <w:basedOn w:val="947"/>
    <w:link w:val="764"/>
    <w:uiPriority w:val="0"/>
    <w:qFormat/>
    <w:rPr>
      <w:rFonts w:ascii="宋体" w:eastAsia="宋体" w:cs="宋体"/>
      <w:color w:val="000000"/>
      <w:sz w:val="24"/>
      <w:szCs w:val="24"/>
      <w:u w:val="none"/>
      <w:lang w:bidi="ar-SA"/>
    </w:rPr>
  </w:style>
  <w:style w:type="character" w:styleId="1060" w:customStyle="1">
    <w:name w:val="font101"/>
    <w:basedOn w:val="947"/>
    <w:link w:val="764"/>
    <w:uiPriority w:val="0"/>
    <w:qFormat/>
    <w:rPr>
      <w:rFonts w:ascii="Cambria Math" w:hAnsi="Cambria Math" w:eastAsia="Cambria Math" w:cs="Cambria Math"/>
      <w:color w:val="000000"/>
      <w:sz w:val="24"/>
      <w:szCs w:val="24"/>
      <w:u w:val="none"/>
      <w:lang w:bidi="ar-SA"/>
    </w:rPr>
  </w:style>
  <w:style w:type="character" w:styleId="1061" w:customStyle="1">
    <w:name w:val="font41"/>
    <w:basedOn w:val="774"/>
    <w:link w:val="764"/>
    <w:uiPriority w:val="0"/>
    <w:qFormat/>
    <w:rPr>
      <w:rFonts w:ascii="宋体" w:eastAsia="宋体" w:cs="宋体"/>
      <w:color w:val="000000"/>
      <w:sz w:val="24"/>
      <w:szCs w:val="24"/>
      <w:u w:val="none"/>
      <w:lang w:bidi="ar-SA"/>
    </w:rPr>
  </w:style>
  <w:style w:type="character" w:styleId="1062" w:customStyle="1">
    <w:name w:val="font112"/>
    <w:basedOn w:val="947"/>
    <w:link w:val="764"/>
    <w:uiPriority w:val="0"/>
    <w:qFormat/>
    <w:rPr>
      <w:rFonts w:ascii="Calibri" w:hAnsi="Calibri" w:cs="Calibri"/>
      <w:color w:val="000000"/>
      <w:sz w:val="24"/>
      <w:szCs w:val="24"/>
      <w:u w:val="none"/>
      <w:lang w:bidi="ar-SA"/>
    </w:rPr>
  </w:style>
  <w:style w:type="character" w:styleId="1063" w:customStyle="1">
    <w:name w:val="font61"/>
    <w:basedOn w:val="947"/>
    <w:link w:val="764"/>
    <w:uiPriority w:val="0"/>
    <w:qFormat/>
    <w:rPr>
      <w:rFonts w:ascii="Calibri" w:hAnsi="Calibri" w:cs="Calibri"/>
      <w:color w:val="000000"/>
      <w:sz w:val="20"/>
      <w:szCs w:val="20"/>
      <w:u w:val="none"/>
      <w:lang w:bidi="ar-SA"/>
    </w:rPr>
  </w:style>
  <w:style w:type="character" w:styleId="1064" w:customStyle="1">
    <w:name w:val="font31"/>
    <w:basedOn w:val="774"/>
    <w:link w:val="764"/>
    <w:uiPriority w:val="0"/>
    <w:qFormat/>
    <w:rPr>
      <w:rFonts w:ascii="宋体" w:eastAsia="宋体" w:cs="宋体"/>
      <w:color w:val="000000"/>
      <w:sz w:val="20"/>
      <w:szCs w:val="20"/>
      <w:u w:val="none"/>
      <w:lang w:bidi="ar-SA"/>
    </w:rPr>
  </w:style>
  <w:style w:type="paragraph" w:styleId="1065" w:customStyle="1">
    <w:name w:val="标题 211"/>
    <w:basedOn w:val="764"/>
    <w:next w:val="807"/>
    <w:uiPriority w:val="0"/>
    <w:qFormat/>
    <w:pPr>
      <w:keepLines/>
      <w:keepNext/>
      <w:spacing w:before="260" w:after="260" w:line="412" w:lineRule="auto"/>
      <w:widowControl w:val="off"/>
      <w:outlineLvl w:val="1"/>
    </w:pPr>
    <w:rPr>
      <w:rFonts w:ascii="Arial" w:hAnsi="Arial" w:eastAsia="黑体"/>
      <w:b/>
      <w:sz w:val="32"/>
      <w:szCs w:val="20"/>
    </w:rPr>
  </w:style>
  <w:style w:type="paragraph" w:styleId="1066" w:customStyle="1">
    <w:name w:val="纯文本1"/>
    <w:basedOn w:val="1024"/>
    <w:uiPriority w:val="0"/>
    <w:qFormat/>
    <w:rPr>
      <w:rFonts w:ascii="宋体" w:cs="Courier New"/>
      <w:lang w:bidi="ar-SA"/>
    </w:rPr>
  </w:style>
  <w:style w:type="character" w:styleId="1067" w:customStyle="1">
    <w:name w:val="默认段落字体11"/>
    <w:link w:val="764"/>
    <w:uiPriority w:val="0"/>
    <w:qFormat/>
    <w:rPr>
      <w:rFonts w:ascii="Calibri" w:hAnsi="Calibri"/>
      <w:sz w:val="21"/>
      <w:szCs w:val="22"/>
      <w:lang w:val="en-US" w:eastAsia="zh-CN" w:bidi="ar-SA"/>
    </w:rPr>
  </w:style>
  <w:style w:type="paragraph" w:styleId="1068" w:customStyle="1">
    <w:name w:val="批注文字_1"/>
    <w:basedOn w:val="1011"/>
    <w:uiPriority w:val="0"/>
    <w:qFormat/>
    <w:pPr>
      <w:jc w:val="left"/>
    </w:pPr>
  </w:style>
  <w:style w:type="paragraph" w:styleId="1069" w:customStyle="1">
    <w:name w:val="批注主题_1"/>
    <w:basedOn w:val="1068"/>
    <w:next w:val="1011"/>
    <w:uiPriority w:val="0"/>
    <w:qFormat/>
    <w:rPr>
      <w:b/>
      <w:bCs/>
      <w:szCs w:val="24"/>
    </w:rPr>
  </w:style>
  <w:style w:type="paragraph" w:styleId="107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_2_0"/>
    <w:uiPriority w:val="0"/>
    <w:qFormat/>
    <w:rPr>
      <w:rFonts w:hint="default" w:ascii="黑体" w:hAnsi="Times New Roman" w:eastAsia="黑体" w:cs="Times New Roman"/>
      <w:b/>
      <w:sz w:val="32"/>
      <w:szCs w:val="24"/>
      <w:lang w:val="en-US" w:eastAsia="zh-CN" w:bidi="ar-SA"/>
    </w:rPr>
  </w:style>
  <w:style w:type="character" w:styleId="1072" w:customStyle="1">
    <w:name w:val="10"/>
    <w:basedOn w:val="1000"/>
    <w:link w:val="764"/>
    <w:uiPriority w:val="0"/>
    <w:qFormat/>
    <w:rPr>
      <w:rFonts w:ascii="Times New Roman" w:hAnsi="Times New Roman" w:eastAsia="Times New Roman" w:cs="Times New Roman"/>
      <w:lang w:bidi="ar-SA"/>
    </w:rPr>
  </w:style>
  <w:style w:type="paragraph" w:styleId="107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font81"/>
    <w:basedOn w:val="774"/>
    <w:uiPriority w:val="0"/>
    <w:qFormat/>
    <w:rPr>
      <w:rFonts w:ascii="Arial" w:hAnsi="Arial" w:cs="Arial"/>
      <w:color w:val="000000"/>
      <w:sz w:val="16"/>
      <w:szCs w:val="16"/>
      <w:u w:val="none"/>
    </w:rPr>
  </w:style>
  <w:style w:type="character" w:styleId="1075" w:customStyle="1">
    <w:name w:val="font21"/>
    <w:basedOn w:val="774"/>
    <w:uiPriority w:val="0"/>
    <w:qFormat/>
    <w:rPr>
      <w:rFonts w:hint="eastAsia" w:ascii="宋体" w:hAnsi="宋体" w:eastAsia="宋体" w:cs="宋体"/>
      <w:color w:val="333333"/>
      <w:sz w:val="24"/>
      <w:szCs w:val="24"/>
      <w:u w:val="none"/>
    </w:rPr>
  </w:style>
  <w:style w:type="character" w:styleId="1076" w:customStyle="1">
    <w:name w:val="font51"/>
    <w:basedOn w:val="774"/>
    <w:uiPriority w:val="0"/>
    <w:qFormat/>
    <w:rPr>
      <w:rFonts w:hint="eastAsia" w:ascii="宋体" w:hAnsi="宋体" w:eastAsia="宋体" w:cs="宋体"/>
      <w:color w:val="000000"/>
      <w:sz w:val="20"/>
      <w:szCs w:val="20"/>
      <w:u w:val="none"/>
    </w:rPr>
  </w:style>
  <w:style w:type="paragraph" w:styleId="1077" w:customStyle="1">
    <w:name w:val="Table Text"/>
    <w:basedOn w:val="764"/>
    <w:uiPriority w:val="0"/>
    <w:semiHidden/>
    <w:qFormat/>
    <w:rPr>
      <w:rFonts w:ascii="宋体" w:hAnsi="宋体" w:eastAsia="宋体" w:cs="宋体"/>
      <w:sz w:val="20"/>
      <w:szCs w:val="20"/>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font7"/>
    <w:basedOn w:val="764"/>
    <w:uiPriority w:val="0"/>
    <w:qFormat/>
    <w:pPr>
      <w:spacing w:before="100" w:beforeAutospacing="1" w:after="100" w:afterAutospacing="1"/>
    </w:pPr>
    <w:rPr>
      <w:rFonts w:hint="eastAsia" w:ascii="宋体" w:hAnsi="宋体"/>
      <w:sz w:val="18"/>
      <w:szCs w:val="1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c1b95d31-53cc-44a5-89d8-1cd6d9280c9f</errorID>
      <errorWord>[2024]20号</errorWord>
      <group>L1_Knowledge</group>
      <groupName>知识性问题</groupName>
      <ability>L2_Knowledge</ability>
      <abilityName>其他知识</abilityName>
      <candidateList>
        <item>〔2024〕20号</item>
      </candidateList>
      <explain>发文字号格式错误。</explain>
      <paraID> 781992E</paraID>
      <start>22</start>
      <end>31</end>
      <status>ignored</status>
      <modifiedWord/>
      <trackRevisions>false</trackRevisions>
    </reviewItem>
    <reviewItem>
      <errorID>6135a73f-55b2-4be7-94a0-103c067a78a9</errorID>
      <errorWord>国家发改委</errorWord>
      <group>L1_Knowledge</group>
      <groupName>知识性问题</groupName>
      <ability>L2_Knowledge</ability>
      <abilityName>其他知识</abilityName>
      <candidateList>
        <item>国家发展改革委</item>
      </candidateList>
      <explain/>
      <paraID>116A2CDB</paraID>
      <start>17</start>
      <end>22</end>
      <status>ignored</status>
      <modifiedWord/>
      <trackRevisions>false</trackRevisions>
    </reviewItem>
    <reviewItem>
      <errorID>54fa35da-4cff-4196-ae57-1368b1c89011</errorID>
      <errorWord>国家市场监督管理局</errorWord>
      <group>L1_Word</group>
      <groupName>字词问题</groupName>
      <ability>L2_Typo</ability>
      <abilityName>字词错误</abilityName>
      <candidateList>
        <item>国家市场监督管理总局</item>
      </candidateList>
      <explain/>
      <paraID>4B61912C</paraID>
      <start>45</start>
      <end>54</end>
      <status>ignored</status>
      <modifiedWord/>
      <trackRevisions>false</trackRevisions>
    </reviewItem>
    <reviewItem>
      <errorID>43c6763f-73de-4336-b2e3-50284a36b8ee</errorID>
      <errorWord>国家市场监督管理局</errorWord>
      <group>L1_Word</group>
      <groupName>字词问题</groupName>
      <ability>L2_Typo</ability>
      <abilityName>字词错误</abilityName>
      <candidateList>
        <item>国家市场监督管理总局</item>
      </candidateList>
      <explain/>
      <paraID>4B61912C</paraID>
      <start>186</start>
      <end>195</end>
      <status>ignored</status>
      <modifiedWord/>
      <trackRevisions>false</trackRevisions>
    </reviewItem>
    <reviewItem>
      <errorID>52cc12bc-bb66-4af0-a6d2-beb8b1c1b58d</errorID>
      <errorWord>,</errorWord>
      <group>L1_Format</group>
      <groupName>格式问题</groupName>
      <ability>L2_HalfPunc</ability>
      <abilityName>全半角检查</abilityName>
      <candidateList>
        <item>，</item>
      </candidateList>
      <explain>文本全半角错误。</explain>
      <paraID>24960110</paraID>
      <start>12</start>
      <end>13</end>
      <status>ignored</status>
      <modifiedWord/>
      <trackRevisions>false</trackRevisions>
    </reviewItem>
    <reviewItem>
      <errorID>386be4fc-cc82-4156-abf1-336b50714b32</errorID>
      <errorWord>,</errorWord>
      <group>L1_Format</group>
      <groupName>格式问题</groupName>
      <ability>L2_HalfPunc</ability>
      <abilityName>全半角检查</abilityName>
      <candidateList>
        <item>，</item>
      </candidateList>
      <explain>文本全半角错误。</explain>
      <paraID>7D75368A</paraID>
      <start>17</start>
      <end>18</end>
      <status>ignored</status>
      <modifiedWord/>
      <trackRevisions>false</trackRevisions>
    </reviewItem>
    <reviewItem>
      <errorID>72b11191-571e-4341-85e4-00b7b2061681</errorID>
      <errorWord>,</errorWord>
      <group>L1_Format</group>
      <groupName>格式问题</groupName>
      <ability>L2_HalfPunc</ability>
      <abilityName>全半角检查</abilityName>
      <candidateList>
        <item>，</item>
      </candidateList>
      <explain>文本全半角错误。</explain>
      <paraID>69B982E6</paraID>
      <start>11</start>
      <end>12</end>
      <status>ignored</status>
      <modifiedWord/>
      <trackRevisions>false</trackRevisions>
    </reviewItem>
    <reviewItem>
      <errorID>0834341d-4ab0-4ac4-95ba-a7e04224039c</errorID>
      <errorWord>,</errorWord>
      <group>L1_Format</group>
      <groupName>格式问题</groupName>
      <ability>L2_HalfPunc</ability>
      <abilityName>全半角检查</abilityName>
      <candidateList>
        <item>，</item>
      </candidateList>
      <explain>文本全半角错误。</explain>
      <paraID>4A2DBDEA</paraID>
      <start>22</start>
      <end>23</end>
      <status>ignored</status>
      <modifiedWord/>
      <trackRevisions>false</trackRevisions>
    </reviewItem>
    <reviewItem>
      <errorID>e7855a8f-3fa5-4c5f-8088-5905c027198e</errorID>
      <errorWord>"</errorWord>
      <group>L1_Format</group>
      <groupName>格式问题</groupName>
      <ability>L2_HalfPunc</ability>
      <abilityName>全半角检查</abilityName>
      <candidateList/>
      <explain>文本全半角错误。</explain>
      <paraID>4A2DBDEA</paraID>
      <start>27</start>
      <end>28</end>
      <status>ignored</status>
      <modifiedWord/>
      <trackRevisions>false</trackRevisions>
    </reviewItem>
    <reviewItem>
      <errorID>a4a8ad37-d85d-4fa2-b815-c4ab9a2785ba</errorID>
      <errorWord>,</errorWord>
      <group>L1_Format</group>
      <groupName>格式问题</groupName>
      <ability>L2_HalfPunc</ability>
      <abilityName>全半角检查</abilityName>
      <candidateList>
        <item>，</item>
      </candidateList>
      <explain>文本全半角错误。</explain>
      <paraID> 9F5A1B3</paraID>
      <start>180</start>
      <end>181</end>
      <status>ignored</status>
      <modifiedWord/>
      <trackRevisions>false</trackRevisions>
    </reviewItem>
    <reviewItem>
      <errorID>7a85a84c-dac4-4d5f-a7f5-58d5d86126e1</errorID>
      <errorWord>,</errorWord>
      <group>L1_Format</group>
      <groupName>格式问题</groupName>
      <ability>L2_HalfPunc</ability>
      <abilityName>全半角检查</abilityName>
      <candidateList>
        <item>，</item>
      </candidateList>
      <explain>文本全半角错误。</explain>
      <paraID> 9F5A1B3</paraID>
      <start>221</start>
      <end>222</end>
      <status>ignored</status>
      <modifiedWord/>
      <trackRevisions>false</trackRevisions>
    </reviewItem>
    <reviewItem>
      <errorID>399d3959-b390-4fb4-b84f-f57c4b01f7c8</errorID>
      <errorWord>,</errorWord>
      <group>L1_Format</group>
      <groupName>格式问题</groupName>
      <ability>L2_HalfPunc</ability>
      <abilityName>全半角检查</abilityName>
      <candidateList>
        <item>，</item>
      </candidateList>
      <explain>文本全半角错误。</explain>
      <paraID>1D20B344</paraID>
      <start>8</start>
      <end>9</end>
      <status>ignored</status>
      <modifiedWord/>
      <trackRevisions>false</trackRevisions>
    </reviewItem>
    <reviewItem>
      <errorID>e58506c8-a4ff-4d38-9676-441322e42af3</errorID>
      <errorWord>"</errorWord>
      <group>L1_Format</group>
      <groupName>格式问题</groupName>
      <ability>L2_HalfPunc</ability>
      <abilityName>全半角检查</abilityName>
      <candidateList/>
      <explain>文本全半角错误。</explain>
      <paraID>1C3A10C2</paraID>
      <start>11</start>
      <end>12</end>
      <status>ignored</status>
      <modifiedWord/>
      <trackRevisions>false</trackRevisions>
    </reviewItem>
    <reviewItem>
      <errorID>93ab4860-3d99-47be-8661-1d64f0fb4255</errorID>
      <errorWord>胶粘</errorWord>
      <group>L1_Word</group>
      <groupName>字词问题</groupName>
      <ability>L2_Typo</ability>
      <abilityName>字词错误</abilityName>
      <candidateList>
        <item>胶黏</item>
      </candidateList>
      <explain/>
      <paraID>537DB3C5</paraID>
      <start>2251</start>
      <end>2253</end>
      <status>ignored</status>
      <modifiedWord/>
      <trackRevisions>false</trackRevisions>
    </reviewItem>
    <reviewItem>
      <errorID>eca7e282-53ce-4e6e-bccb-63d1e77bac53</errorID>
      <errorWord>登陆</errorWord>
      <group>L1_Word</group>
      <groupName>字词问题</groupName>
      <ability>L2_Typo</ability>
      <abilityName>字词错误</abilityName>
      <candidateList>
        <item>登录</item>
      </candidateList>
      <explain>〈动〉❶登记：～在案。❷注册▲。</explain>
      <paraID>5771104C</paraID>
      <start>56</start>
      <end>58</end>
      <status>ignored</status>
      <modifiedWord/>
      <trackRevisions>false</trackRevisions>
    </reviewItem>
    <reviewItem>
      <errorID>13731541-6320-4200-9565-cca834d74345</errorID>
      <errorWord>需具备</errorWord>
      <group>L1_Word</group>
      <groupName>字词问题</groupName>
      <ability>L2_Typo</ability>
      <abilityName>字词错误</abilityName>
      <candidateList>
        <item>须具备</item>
      </candidateList>
      <explain/>
      <paraID>27564E88</paraID>
      <start>126</start>
      <end>129</end>
      <status>ignored</status>
      <modifiedWord/>
      <trackRevisions>false</trackRevisions>
    </reviewItem>
    <reviewItem>
      <errorID>bba44096-ccd9-4128-8818-93cb34f28e1f</errorID>
      <errorWord>需具备</errorWord>
      <group>L1_Word</group>
      <groupName>字词问题</groupName>
      <ability>L2_Typo</ability>
      <abilityName>字词错误</abilityName>
      <candidateList>
        <item>须具备</item>
      </candidateList>
      <explain/>
      <paraID>27564E88</paraID>
      <start>286</start>
      <end>289</end>
      <status>ignored</status>
      <modifiedWord/>
      <trackRevisions>false</trackRevisions>
    </reviewItem>
    <reviewItem>
      <errorID>5853d5e5-6fdf-4972-8820-42e913dd46e3</errorID>
      <errorWord>,</errorWord>
      <group>L1_Format</group>
      <groupName>格式问题</groupName>
      <ability>L2_HalfPunc</ability>
      <abilityName>全半角检查</abilityName>
      <candidateList>
        <item>，</item>
      </candidateList>
      <explain>文本全半角错误。</explain>
      <paraID>53209DA5</paraID>
      <start>43</start>
      <end>44</end>
      <status>ignored</status>
      <modifiedWord/>
      <trackRevisions>false</trackRevisions>
    </reviewItem>
    <reviewItem>
      <errorID>f449e707-d24b-466c-880a-a054015a71a4</errorID>
      <errorWord>,</errorWord>
      <group>L1_Format</group>
      <groupName>格式问题</groupName>
      <ability>L2_HalfPunc</ability>
      <abilityName>全半角检查</abilityName>
      <candidateList>
        <item>，</item>
      </candidateList>
      <explain>文本全半角错误。</explain>
      <paraID>1F663942</paraID>
      <start>13</start>
      <end>14</end>
      <status>ignored</status>
      <modifiedWord/>
      <trackRevisions>false</trackRevisions>
    </reviewItem>
    <reviewItem>
      <errorID>6123f975-9644-4cbe-b725-84372a87fce4</errorID>
      <errorWord>接</errorWord>
      <group>L1_Word</group>
      <groupName>字词问题</groupName>
      <ability>L2_Typo</ability>
      <abilityName>字词错误</abilityName>
      <candidateList>
        <item>接到</item>
      </candidateList>
      <explain/>
      <paraID> 1008038</paraID>
      <start>107</start>
      <end>108</end>
      <status>ignored</status>
      <modifiedWord/>
      <trackRevisions>false</trackRevisions>
    </reviewItem>
    <reviewItem>
      <errorID>2bac55ef-7d42-48e5-a4fb-046288b884aa</errorID>
      <errorWord>接到</errorWord>
      <group>L1_Word</group>
      <groupName>字词问题</groupName>
      <ability>L2_Typo</ability>
      <abilityName>字词错误</abilityName>
      <candidateList>
        <item>接</item>
      </candidateList>
      <explain/>
      <paraID> 1008038</paraID>
      <start>116</start>
      <end>118</end>
      <status>ignored</status>
      <modifiedWord/>
      <trackRevisions>false</trackRevisions>
    </reviewItem>
    <reviewItem>
      <errorID>dd12d884-bf48-443a-b0d3-ba2db699feeb</errorID>
      <errorWord>登陆</errorWord>
      <group>L1_Word</group>
      <groupName>字词问题</groupName>
      <ability>L2_Typo</ability>
      <abilityName>字词错误</abilityName>
      <candidateList>
        <item>登录</item>
      </candidateList>
      <explain>〈动〉❶登记：～在案。❷注册▲。</explain>
      <paraID>503B1B94</paraID>
      <start>91</start>
      <end>93</end>
      <status>ignored</status>
      <modifiedWord/>
      <trackRevisions>false</trackRevisions>
    </reviewItem>
    <reviewItem>
      <errorID>0cc4159c-9c7c-4277-8777-39cf46d517d7</errorID>
      <errorWord>4千</errorWord>
      <group>L1_Knowledge</group>
      <groupName>知识性问题</groupName>
      <ability>L2_Knowledge</ability>
      <abilityName>其他知识</abilityName>
      <candidateList>
        <item>4000</item>
      </candidateList>
      <explain/>
      <paraID>4A73A1A9</paraID>
      <start>37</start>
      <end>39</end>
      <status>ignored</status>
      <modifiedWord/>
      <trackRevisions>false</trackRevisions>
    </reviewItem>
    <reviewItem>
      <errorID>829749d8-7621-4f27-96de-cf98503f16b5</errorID>
      <errorWord>4千</errorWord>
      <group>L1_Knowledge</group>
      <groupName>知识性问题</groupName>
      <ability>L2_Knowledge</ability>
      <abilityName>其他知识</abilityName>
      <candidateList>
        <item>4000</item>
      </candidateList>
      <explain/>
      <paraID>4A73A1A9</paraID>
      <start>44</start>
      <end>46</end>
      <status>ignored</status>
      <modifiedWord/>
      <trackRevisions>false</trackRevisions>
    </reviewItem>
    <reviewItem>
      <errorID>62ce7ad8-a167-4984-adbb-cfb3ef1011fa</errorID>
      <errorWord>,</errorWord>
      <group>L1_Format</group>
      <groupName>格式问题</groupName>
      <ability>L2_HalfPunc</ability>
      <abilityName>全半角检查</abilityName>
      <candidateList>
        <item>，</item>
      </candidateList>
      <explain>文本全半角错误。</explain>
      <paraID>65849660</paraID>
      <start>388</start>
      <end>389</end>
      <status>ignored</status>
      <modifiedWord/>
      <trackRevisions>false</trackRevisions>
    </reviewItem>
    <reviewItem>
      <errorID>86f109a7-25d2-440b-8f4a-6dfb5aac81ae</errorID>
      <errorWord>国家市场监督管理局</errorWord>
      <group>L1_Word</group>
      <groupName>字词问题</groupName>
      <ability>L2_Typo</ability>
      <abilityName>字词错误</abilityName>
      <candidateList>
        <item>国家市场监督管理总局</item>
      </candidateList>
      <explain/>
      <paraID>78260767</paraID>
      <start>51</start>
      <end>60</end>
      <status>ignored</status>
      <modifiedWord/>
      <trackRevisions>false</trackRevisions>
    </reviewItem>
    <reviewItem>
      <errorID>5e23e8ad-9e86-4f35-8e61-0b42ad8e8587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1888A947</paraID>
      <start>18</start>
      <end>19</end>
      <status>modified</status>
      <modifiedWord>对</modifiedWord>
      <trackRevisions>false</trackRevisions>
    </reviewItem>
    <reviewItem>
      <errorID>0ec669c8-f469-4698-8e37-129e59bf1c69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356F4B41</paraID>
      <start>8</start>
      <end>9</end>
      <status>ignored</status>
      <modifiedWord/>
      <trackRevisions>false</trackRevisions>
    </reviewItem>
    <reviewItem>
      <errorID>a8d4acf0-bb67-40ac-9dfa-3cd3e6e5a941</errorID>
      <errorWord>下</errorWord>
      <group>L1_Word</group>
      <groupName>字词问题</groupName>
      <ability>L2_Typo</ability>
      <abilityName>字词错误</abilityName>
      <candidateList>
        <item>下简</item>
      </candidateList>
      <explain/>
      <paraID>2045DD15</paraID>
      <start>8</start>
      <end>9</end>
      <status>ignored</status>
      <modifiedWord/>
      <trackRevisions>false</trackRevisions>
    </reviewItem>
    <reviewItem>
      <errorID>f207968f-c38e-4c42-aa86-bf3eb3a50d97</errorID>
      <errorWord>下</errorWord>
      <group>L1_Word</group>
      <groupName>字词问题</groupName>
      <ability>L2_Typo</ability>
      <abilityName>字词错误</abilityName>
      <candidateList>
        <item>下简</item>
      </candidateList>
      <explain/>
      <paraID>3E9E5FB9</paraID>
      <start>8</start>
      <end>9</end>
      <status>ignored</status>
      <modifiedWord/>
      <trackRevisions>false</trackRevisions>
    </reviewItem>
    <reviewItem>
      <errorID>5aec92c4-0e2e-41b9-ae30-fa207eb82828</errorID>
      <errorWord>应</errorWord>
      <group>L1_Word</group>
      <groupName>字词问题</groupName>
      <ability>L2_Typo</ability>
      <abilityName>字词错误</abilityName>
      <candidateList>
        <item>应当</item>
      </candidateList>
      <explain/>
      <paraID>72FFA71A</paraID>
      <start>34</start>
      <end>35</end>
      <status>ignored</status>
      <modifiedWord/>
      <trackRevisions>false</trackRevisions>
    </reviewItem>
    <reviewItem>
      <errorID>f5fe72b5-1c6f-45a4-810a-4eb1f034288f</errorID>
      <errorWord>作</errorWord>
      <group>L1_Word</group>
      <groupName>字词问题</groupName>
      <ability>L2_Typo</ability>
      <abilityName>字词错误</abilityName>
      <candidateList>
        <item>做</item>
      </candidateList>
      <explain>存在发音相同字词的误用。</explain>
      <paraID> AD2C6E6</paraID>
      <start>4</start>
      <end>5</end>
      <status>ignored</status>
      <modifiedWord/>
      <trackRevisions>false</trackRevisions>
    </reviewItem>
    <reviewItem>
      <errorID>d264dec2-99a0-483a-aafc-59dac6b565cc</errorID>
      <errorWord>[2011]300号</errorWord>
      <group>L1_Knowledge</group>
      <groupName>知识性问题</groupName>
      <ability>L2_Knowledge</ability>
      <abilityName>其他知识</abilityName>
      <candidateList>
        <item>〔2011〕300号</item>
      </candidateList>
      <explain>发文字号格式错误。</explain>
      <paraID>2EFF78F1</paraID>
      <start>58</start>
      <end>68</end>
      <status>ignored</status>
      <modifiedWord/>
      <trackRevisions>false</trackRevisions>
    </reviewItem>
    <reviewItem>
      <errorID>9d0283cd-73c9-486a-8408-c7026aebb414</errorID>
      <errorWord>〔2017〕 141号</errorWord>
      <group>L1_Knowledge</group>
      <groupName>知识性问题</groupName>
      <ability>L2_Knowledge</ability>
      <abilityName>其他知识</abilityName>
      <candidateList>
        <item>〔2017〕141号</item>
      </candidateList>
      <explain>发文字号格式错误。</explain>
      <paraID>1F1A2396</paraID>
      <start>49</start>
      <end>60</end>
      <status>ignored</status>
      <modifiedWord/>
      <trackRevisions>false</trackRevisions>
    </reviewItem>
    <reviewItem>
      <errorID>2841c882-b8d5-4fcb-af42-1b5cd2fae390</errorID>
      <errorWord>获</errorWord>
      <group>L1_Word</group>
      <groupName>字词问题</groupName>
      <ability>L2_Typo</ability>
      <abilityName>字词错误</abilityName>
      <candidateList>
        <item>获得</item>
      </candidateList>
      <explain>〈动〉取得；得到（多用于抽象事物）：～好评｜～宝贵的经验｜～显著的成绩。</explain>
      <paraID>4777C93C</paraID>
      <start>23</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89C0B-A441-4174-9579-3BB90CECAFA9}"/>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罗浩林</cp:lastModifiedBy>
  <cp:revision>10</cp:revision>
  <dcterms:created xsi:type="dcterms:W3CDTF">2022-12-13T00:17:00Z</dcterms:created>
  <dcterms:modified xsi:type="dcterms:W3CDTF">2026-05-14T07:47:00Z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eyJoZGlkIjoiYWE1MTRhNWVlMmE1Mjk2Yjk5NmUwNzExYmI3MmQ0MmIiLCJ1c2VySWQiOiI1MDQ0ODQwOTUifQ==</vt:lpwstr>
  </property>
  <property fmtid="{D5CDD505-2E9C-101B-9397-08002B2CF9AE}" pid="3" name="KSOProductBuildVer">
    <vt:lpwstr>2052-12.1.0.20305</vt:lpwstr>
  </property>
  <property fmtid="{D5CDD505-2E9C-101B-9397-08002B2CF9AE}" pid="4" name="ICV">
    <vt:lpwstr>6AB4998323A748F796883840ABB1BE33_13</vt:lpwstr>
  </property>
</Properties>
</file>